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25D" w:rsidRPr="00E6125D" w:rsidRDefault="00E6125D" w:rsidP="00E6125D">
      <w:pPr>
        <w:spacing w:before="100" w:beforeAutospacing="1" w:after="100" w:afterAutospacing="1" w:line="240" w:lineRule="auto"/>
        <w:outlineLvl w:val="1"/>
        <w:rPr>
          <w:rFonts w:ascii="futurastd bold" w:eastAsia="Times New Roman" w:hAnsi="futurastd bold"/>
          <w:color w:val="333333"/>
          <w:kern w:val="36"/>
          <w:sz w:val="36"/>
          <w:szCs w:val="36"/>
          <w:lang w:eastAsia="fr-FR"/>
        </w:rPr>
      </w:pPr>
      <w:r w:rsidRPr="00E6125D">
        <w:rPr>
          <w:rFonts w:ascii="futurastd bold" w:eastAsia="Times New Roman" w:hAnsi="futurastd bold"/>
          <w:color w:val="333333"/>
          <w:kern w:val="36"/>
          <w:sz w:val="36"/>
          <w:szCs w:val="36"/>
          <w:lang w:eastAsia="fr-FR"/>
        </w:rPr>
        <w:t>Etablissements Recevant du Public</w:t>
      </w:r>
    </w:p>
    <w:p w:rsidR="00E6125D" w:rsidRPr="00E6125D" w:rsidRDefault="00E6125D" w:rsidP="00E6125D">
      <w:pPr>
        <w:spacing w:before="100" w:beforeAutospacing="1" w:after="100" w:afterAutospacing="1" w:line="240" w:lineRule="auto"/>
        <w:rPr>
          <w:rFonts w:ascii="Arial" w:eastAsia="Times New Roman" w:hAnsi="Arial" w:cs="Arial"/>
          <w:color w:val="333333"/>
          <w:sz w:val="18"/>
          <w:szCs w:val="18"/>
          <w:lang w:eastAsia="fr-FR"/>
        </w:rPr>
      </w:pPr>
      <w:r w:rsidRPr="00E6125D">
        <w:rPr>
          <w:rFonts w:ascii="Arial" w:eastAsia="Times New Roman" w:hAnsi="Arial" w:cs="Arial"/>
          <w:b/>
          <w:bCs/>
          <w:color w:val="333333"/>
          <w:sz w:val="18"/>
          <w:szCs w:val="18"/>
          <w:lang w:eastAsia="fr-FR"/>
        </w:rPr>
        <w:t>Qu'est-ce qu'un Etablissement recevant du Public (E.R.P.)?</w:t>
      </w:r>
    </w:p>
    <w:p w:rsidR="00E6125D" w:rsidRPr="00E6125D" w:rsidRDefault="00E6125D" w:rsidP="00E6125D">
      <w:pPr>
        <w:spacing w:before="100" w:beforeAutospacing="1" w:after="100" w:afterAutospacing="1" w:line="240" w:lineRule="auto"/>
        <w:rPr>
          <w:rFonts w:ascii="Arial" w:eastAsia="Times New Roman" w:hAnsi="Arial" w:cs="Arial"/>
          <w:color w:val="333333"/>
          <w:sz w:val="18"/>
          <w:szCs w:val="18"/>
          <w:lang w:eastAsia="fr-FR"/>
        </w:rPr>
      </w:pPr>
      <w:r w:rsidRPr="00E6125D">
        <w:rPr>
          <w:rFonts w:ascii="Arial" w:eastAsia="Times New Roman" w:hAnsi="Arial" w:cs="Arial"/>
          <w:i/>
          <w:iCs/>
          <w:color w:val="333333"/>
          <w:sz w:val="18"/>
          <w:szCs w:val="18"/>
          <w:lang w:eastAsia="fr-FR"/>
        </w:rPr>
        <w:t>« Constituent des Etablissements Recevant du Public tous bâtiments, locaux et enceintes dans lesquels des personnes sont admises, soit librement, soit moyennant une rétribution ou une participation quelconque, ou dans lesquels sont tenues des réunions ouvertes à tout venant ou sur invitation, payantes ou non. Sont considérées comme faisant partie du public toutes les personnes admises dans l'établissement à quelque titre que ce soit en plus du personnel. »</w:t>
      </w:r>
      <w:r w:rsidRPr="00E6125D">
        <w:rPr>
          <w:rFonts w:ascii="Arial" w:eastAsia="Times New Roman" w:hAnsi="Arial" w:cs="Arial"/>
          <w:color w:val="333333"/>
          <w:sz w:val="18"/>
          <w:szCs w:val="18"/>
          <w:lang w:eastAsia="fr-FR"/>
        </w:rPr>
        <w:br/>
      </w:r>
      <w:r w:rsidRPr="00E6125D">
        <w:rPr>
          <w:rFonts w:ascii="Arial" w:eastAsia="Times New Roman" w:hAnsi="Arial" w:cs="Arial"/>
          <w:color w:val="959595"/>
          <w:sz w:val="14"/>
          <w:szCs w:val="14"/>
          <w:lang w:eastAsia="fr-FR"/>
        </w:rPr>
        <w:t>Article R. 123-2 du Code de la Construction et de l’Habitation</w:t>
      </w:r>
    </w:p>
    <w:p w:rsidR="00E6125D" w:rsidRPr="00E6125D" w:rsidRDefault="00E6125D" w:rsidP="00E6125D">
      <w:pPr>
        <w:spacing w:before="100" w:beforeAutospacing="1" w:after="100" w:afterAutospacing="1" w:line="240" w:lineRule="auto"/>
        <w:rPr>
          <w:rFonts w:ascii="Arial" w:eastAsia="Times New Roman" w:hAnsi="Arial" w:cs="Arial"/>
          <w:color w:val="333333"/>
          <w:sz w:val="18"/>
          <w:szCs w:val="18"/>
          <w:lang w:eastAsia="fr-FR"/>
        </w:rPr>
      </w:pPr>
      <w:r w:rsidRPr="00E6125D">
        <w:rPr>
          <w:rFonts w:ascii="Arial" w:eastAsia="Times New Roman" w:hAnsi="Arial" w:cs="Arial"/>
          <w:color w:val="333333"/>
          <w:sz w:val="18"/>
          <w:szCs w:val="18"/>
          <w:lang w:eastAsia="fr-FR"/>
        </w:rPr>
        <w:t>La vie d’un E.R.P. est réglementée par le Code de la Construction et de l’Habitation. Chaque étape est bien définie et est soumise à diverses autorisations et obligations de la création à l’exploitation. Ces établissements sont classés par type (activité) et par catégorie (effectif). La règlementation est spécifique suivant le classement.</w:t>
      </w:r>
    </w:p>
    <w:p w:rsidR="00E6125D" w:rsidRPr="00E6125D" w:rsidRDefault="00E6125D" w:rsidP="00E6125D">
      <w:pPr>
        <w:spacing w:before="100" w:beforeAutospacing="1" w:after="100" w:afterAutospacing="1" w:line="240" w:lineRule="auto"/>
        <w:rPr>
          <w:rFonts w:ascii="Arial" w:eastAsia="Times New Roman" w:hAnsi="Arial" w:cs="Arial"/>
          <w:color w:val="333333"/>
          <w:sz w:val="18"/>
          <w:szCs w:val="18"/>
          <w:lang w:eastAsia="fr-FR"/>
        </w:rPr>
      </w:pPr>
      <w:r w:rsidRPr="00E6125D">
        <w:rPr>
          <w:rFonts w:ascii="Arial" w:eastAsia="Times New Roman" w:hAnsi="Arial" w:cs="Arial"/>
          <w:color w:val="333333"/>
          <w:sz w:val="18"/>
          <w:szCs w:val="18"/>
          <w:lang w:eastAsia="fr-FR"/>
        </w:rPr>
        <w:t>Le chef d’établissement est responsable de la sécurité du public dans son établissement (public et personnel).</w:t>
      </w:r>
    </w:p>
    <w:p w:rsidR="00E6125D" w:rsidRPr="00E6125D" w:rsidRDefault="00E6125D" w:rsidP="00E6125D">
      <w:pPr>
        <w:spacing w:before="100" w:beforeAutospacing="1" w:after="100" w:afterAutospacing="1" w:line="240" w:lineRule="auto"/>
        <w:rPr>
          <w:rFonts w:ascii="Arial" w:eastAsia="Times New Roman" w:hAnsi="Arial" w:cs="Arial"/>
          <w:color w:val="333333"/>
          <w:sz w:val="18"/>
          <w:szCs w:val="18"/>
          <w:lang w:eastAsia="fr-FR"/>
        </w:rPr>
      </w:pPr>
      <w:r w:rsidRPr="00E6125D">
        <w:rPr>
          <w:rFonts w:ascii="Arial" w:eastAsia="Times New Roman" w:hAnsi="Arial" w:cs="Arial"/>
          <w:b/>
          <w:bCs/>
          <w:color w:val="333333"/>
          <w:sz w:val="18"/>
          <w:szCs w:val="18"/>
          <w:lang w:eastAsia="fr-FR"/>
        </w:rPr>
        <w:t>La vie d’un E.R.P :</w:t>
      </w:r>
      <w:r w:rsidRPr="00E6125D">
        <w:rPr>
          <w:rFonts w:ascii="Arial" w:eastAsia="Times New Roman" w:hAnsi="Arial" w:cs="Arial"/>
          <w:color w:val="333333"/>
          <w:sz w:val="18"/>
          <w:szCs w:val="18"/>
          <w:lang w:eastAsia="fr-FR"/>
        </w:rPr>
        <w:t> </w:t>
      </w:r>
    </w:p>
    <w:p w:rsidR="00E6125D" w:rsidRPr="00E6125D" w:rsidRDefault="00E6125D" w:rsidP="00E6125D">
      <w:pPr>
        <w:numPr>
          <w:ilvl w:val="0"/>
          <w:numId w:val="1"/>
        </w:numPr>
        <w:spacing w:before="100" w:beforeAutospacing="1" w:after="100" w:afterAutospacing="1" w:line="240" w:lineRule="auto"/>
        <w:ind w:left="0"/>
        <w:rPr>
          <w:rFonts w:ascii="Arial" w:eastAsia="Times New Roman" w:hAnsi="Arial" w:cs="Arial"/>
          <w:color w:val="333333"/>
          <w:sz w:val="18"/>
          <w:szCs w:val="18"/>
          <w:lang w:eastAsia="fr-FR"/>
        </w:rPr>
      </w:pPr>
      <w:r w:rsidRPr="00E6125D">
        <w:rPr>
          <w:rFonts w:ascii="Arial" w:eastAsia="Times New Roman" w:hAnsi="Arial" w:cs="Arial"/>
          <w:color w:val="333333"/>
          <w:sz w:val="18"/>
          <w:szCs w:val="18"/>
          <w:lang w:eastAsia="fr-FR"/>
        </w:rPr>
        <w:t>La création (voir onglet création d’un E.R.P)</w:t>
      </w:r>
    </w:p>
    <w:p w:rsidR="00E6125D" w:rsidRPr="00E6125D" w:rsidRDefault="00E6125D" w:rsidP="00E6125D">
      <w:pPr>
        <w:numPr>
          <w:ilvl w:val="0"/>
          <w:numId w:val="1"/>
        </w:numPr>
        <w:spacing w:before="100" w:beforeAutospacing="1" w:after="100" w:afterAutospacing="1" w:line="240" w:lineRule="auto"/>
        <w:ind w:left="0"/>
        <w:rPr>
          <w:rFonts w:ascii="Arial" w:eastAsia="Times New Roman" w:hAnsi="Arial" w:cs="Arial"/>
          <w:color w:val="333333"/>
          <w:sz w:val="18"/>
          <w:szCs w:val="18"/>
          <w:lang w:eastAsia="fr-FR"/>
        </w:rPr>
      </w:pPr>
      <w:r w:rsidRPr="00E6125D">
        <w:rPr>
          <w:rFonts w:ascii="Arial" w:eastAsia="Times New Roman" w:hAnsi="Arial" w:cs="Arial"/>
          <w:color w:val="333333"/>
          <w:sz w:val="18"/>
          <w:szCs w:val="18"/>
          <w:lang w:eastAsia="fr-FR"/>
        </w:rPr>
        <w:t>L’ouverture (voir onglet ouverture d’un E.R.P)</w:t>
      </w:r>
    </w:p>
    <w:p w:rsidR="00E6125D" w:rsidRPr="00E6125D" w:rsidRDefault="00E6125D" w:rsidP="00E6125D">
      <w:pPr>
        <w:numPr>
          <w:ilvl w:val="0"/>
          <w:numId w:val="1"/>
        </w:numPr>
        <w:spacing w:before="100" w:beforeAutospacing="1" w:after="100" w:afterAutospacing="1" w:line="240" w:lineRule="auto"/>
        <w:ind w:left="0"/>
        <w:rPr>
          <w:rFonts w:ascii="Arial" w:eastAsia="Times New Roman" w:hAnsi="Arial" w:cs="Arial"/>
          <w:color w:val="333333"/>
          <w:sz w:val="18"/>
          <w:szCs w:val="18"/>
          <w:lang w:eastAsia="fr-FR"/>
        </w:rPr>
      </w:pPr>
      <w:r w:rsidRPr="00E6125D">
        <w:rPr>
          <w:rFonts w:ascii="Arial" w:eastAsia="Times New Roman" w:hAnsi="Arial" w:cs="Arial"/>
          <w:color w:val="333333"/>
          <w:sz w:val="18"/>
          <w:szCs w:val="18"/>
          <w:lang w:eastAsia="fr-FR"/>
        </w:rPr>
        <w:t>Obligations de l’exploitant (voir onglet exploitation d’un E.R.P)</w:t>
      </w:r>
    </w:p>
    <w:p w:rsidR="00E6125D" w:rsidRPr="00E6125D" w:rsidRDefault="00E6125D" w:rsidP="00E6125D">
      <w:pPr>
        <w:numPr>
          <w:ilvl w:val="0"/>
          <w:numId w:val="1"/>
        </w:numPr>
        <w:spacing w:before="100" w:beforeAutospacing="1" w:after="100" w:afterAutospacing="1" w:line="240" w:lineRule="auto"/>
        <w:ind w:left="0"/>
        <w:rPr>
          <w:rFonts w:ascii="Arial" w:eastAsia="Times New Roman" w:hAnsi="Arial" w:cs="Arial"/>
          <w:color w:val="333333"/>
          <w:sz w:val="18"/>
          <w:szCs w:val="18"/>
          <w:lang w:eastAsia="fr-FR"/>
        </w:rPr>
      </w:pPr>
      <w:r w:rsidRPr="00E6125D">
        <w:rPr>
          <w:rFonts w:ascii="Arial" w:eastAsia="Times New Roman" w:hAnsi="Arial" w:cs="Arial"/>
          <w:color w:val="333333"/>
          <w:sz w:val="18"/>
          <w:szCs w:val="18"/>
          <w:lang w:eastAsia="fr-FR"/>
        </w:rPr>
        <w:t>Contrôle de l’administration </w:t>
      </w:r>
    </w:p>
    <w:p w:rsidR="00E6125D" w:rsidRPr="00E6125D" w:rsidRDefault="00E6125D" w:rsidP="00E6125D">
      <w:pPr>
        <w:spacing w:before="100" w:beforeAutospacing="1" w:after="100" w:afterAutospacing="1" w:line="240" w:lineRule="auto"/>
        <w:rPr>
          <w:rFonts w:ascii="Arial" w:eastAsia="Times New Roman" w:hAnsi="Arial" w:cs="Arial"/>
          <w:color w:val="333333"/>
          <w:sz w:val="18"/>
          <w:szCs w:val="18"/>
          <w:lang w:eastAsia="fr-FR"/>
        </w:rPr>
      </w:pPr>
      <w:r w:rsidRPr="00E6125D">
        <w:rPr>
          <w:rFonts w:ascii="Arial" w:eastAsia="Times New Roman" w:hAnsi="Arial" w:cs="Arial"/>
          <w:color w:val="333333"/>
          <w:sz w:val="18"/>
          <w:szCs w:val="18"/>
          <w:lang w:eastAsia="fr-FR"/>
        </w:rPr>
        <w:t>Au cours de l’exploitation de l’E.R.P, celui-ci est soumis suivant son classement à des visites périodiques (sauf pour les 5éme catégorie sans locaux à sommeil) et/ou à des visites à la demande ou inopinées (pouvoir de police du Maire) indépendamment du classement (voir onglet Contrôle de l’administration). </w:t>
      </w:r>
    </w:p>
    <w:p w:rsidR="00E6125D" w:rsidRPr="00E6125D" w:rsidRDefault="00E6125D" w:rsidP="00E6125D">
      <w:pPr>
        <w:spacing w:before="100" w:beforeAutospacing="1" w:after="100" w:afterAutospacing="1" w:line="240" w:lineRule="auto"/>
        <w:rPr>
          <w:rFonts w:ascii="Arial" w:eastAsia="Times New Roman" w:hAnsi="Arial" w:cs="Arial"/>
          <w:color w:val="333333"/>
          <w:sz w:val="18"/>
          <w:szCs w:val="18"/>
          <w:lang w:eastAsia="fr-FR"/>
        </w:rPr>
      </w:pPr>
      <w:r w:rsidRPr="00E6125D">
        <w:rPr>
          <w:rFonts w:ascii="Arial" w:eastAsia="Times New Roman" w:hAnsi="Arial" w:cs="Arial"/>
          <w:b/>
          <w:bCs/>
          <w:color w:val="333333"/>
          <w:sz w:val="18"/>
          <w:szCs w:val="18"/>
          <w:lang w:eastAsia="fr-FR"/>
        </w:rPr>
        <w:t>Manifestations :</w:t>
      </w:r>
      <w:r w:rsidRPr="00E6125D">
        <w:rPr>
          <w:rFonts w:ascii="Arial" w:eastAsia="Times New Roman" w:hAnsi="Arial" w:cs="Arial"/>
          <w:color w:val="333333"/>
          <w:sz w:val="18"/>
          <w:szCs w:val="18"/>
          <w:lang w:eastAsia="fr-FR"/>
        </w:rPr>
        <w:t> </w:t>
      </w:r>
    </w:p>
    <w:p w:rsidR="00E6125D" w:rsidRPr="00E6125D" w:rsidRDefault="00E6125D" w:rsidP="00E6125D">
      <w:pPr>
        <w:spacing w:before="100" w:beforeAutospacing="1" w:after="100" w:afterAutospacing="1" w:line="240" w:lineRule="auto"/>
        <w:rPr>
          <w:rFonts w:ascii="Arial" w:eastAsia="Times New Roman" w:hAnsi="Arial" w:cs="Arial"/>
          <w:color w:val="333333"/>
          <w:sz w:val="18"/>
          <w:szCs w:val="18"/>
          <w:lang w:eastAsia="fr-FR"/>
        </w:rPr>
      </w:pPr>
      <w:r w:rsidRPr="00E6125D">
        <w:rPr>
          <w:rFonts w:ascii="Arial" w:eastAsia="Times New Roman" w:hAnsi="Arial" w:cs="Arial"/>
          <w:color w:val="333333"/>
          <w:sz w:val="18"/>
          <w:szCs w:val="18"/>
          <w:lang w:eastAsia="fr-FR"/>
        </w:rPr>
        <w:t>L’utilisation exceptionnelle de l’établissement (activité et effectif différent) est possible sous réserve de faire une demande (onglet manifestations).</w:t>
      </w:r>
    </w:p>
    <w:p w:rsidR="00E6125D" w:rsidRPr="00E6125D" w:rsidRDefault="00E6125D" w:rsidP="00E6125D">
      <w:pPr>
        <w:pBdr>
          <w:top w:val="single" w:sz="6" w:space="6" w:color="DDDDDD"/>
          <w:left w:val="single" w:sz="6" w:space="8" w:color="DDDDDD"/>
          <w:bottom w:val="single" w:sz="6" w:space="6" w:color="DDDDDD"/>
          <w:right w:val="single" w:sz="6" w:space="6" w:color="DDDDDD"/>
        </w:pBdr>
        <w:shd w:val="clear" w:color="auto" w:fill="FFFFFF"/>
        <w:spacing w:after="0" w:line="240" w:lineRule="auto"/>
        <w:outlineLvl w:val="2"/>
        <w:rPr>
          <w:rFonts w:ascii="Trebuchet MS" w:eastAsia="Times New Roman" w:hAnsi="Trebuchet MS" w:cs="Arial"/>
          <w:b/>
          <w:bCs/>
          <w:color w:val="000000"/>
          <w:sz w:val="20"/>
          <w:szCs w:val="20"/>
          <w:lang w:eastAsia="fr-FR"/>
        </w:rPr>
      </w:pPr>
      <w:hyperlink r:id="rId6" w:history="1">
        <w:r w:rsidRPr="00E6125D">
          <w:rPr>
            <w:rFonts w:ascii="Trebuchet MS" w:eastAsia="Times New Roman" w:hAnsi="Trebuchet MS" w:cs="Arial"/>
            <w:b/>
            <w:bCs/>
            <w:color w:val="323232"/>
            <w:sz w:val="20"/>
            <w:szCs w:val="20"/>
            <w:u w:val="single"/>
            <w:lang w:eastAsia="fr-FR"/>
          </w:rPr>
          <w:t>CREATION D’UN E.R.P</w:t>
        </w:r>
      </w:hyperlink>
    </w:p>
    <w:p w:rsidR="00E6125D" w:rsidRPr="00E6125D" w:rsidRDefault="00E6125D" w:rsidP="00E6125D">
      <w:pPr>
        <w:spacing w:after="100" w:afterAutospacing="1" w:line="240" w:lineRule="auto"/>
        <w:outlineLvl w:val="0"/>
        <w:rPr>
          <w:rFonts w:ascii="futurastd bold" w:eastAsia="Times New Roman" w:hAnsi="futurastd bold" w:cs="Arial"/>
          <w:color w:val="333333"/>
          <w:kern w:val="36"/>
          <w:sz w:val="36"/>
          <w:szCs w:val="36"/>
          <w:lang w:eastAsia="fr-FR"/>
        </w:rPr>
      </w:pPr>
      <w:r w:rsidRPr="00E6125D">
        <w:rPr>
          <w:rFonts w:ascii="futurastd bold" w:eastAsia="Times New Roman" w:hAnsi="futurastd bold" w:cs="Arial"/>
          <w:color w:val="333333"/>
          <w:kern w:val="36"/>
          <w:sz w:val="36"/>
          <w:szCs w:val="36"/>
          <w:lang w:eastAsia="fr-FR"/>
        </w:rPr>
        <w:t>CREATION D’UN E.R.P</w:t>
      </w:r>
    </w:p>
    <w:p w:rsidR="00E6125D" w:rsidRPr="00E6125D" w:rsidRDefault="00E6125D" w:rsidP="00E6125D">
      <w:pPr>
        <w:spacing w:before="100" w:beforeAutospacing="1" w:after="100" w:afterAutospacing="1" w:line="240" w:lineRule="auto"/>
        <w:rPr>
          <w:rFonts w:ascii="Trebuchet MS" w:eastAsia="Times New Roman" w:hAnsi="Trebuchet MS" w:cs="Arial"/>
          <w:color w:val="333333"/>
          <w:sz w:val="20"/>
          <w:szCs w:val="20"/>
          <w:lang w:eastAsia="fr-FR"/>
        </w:rPr>
      </w:pPr>
      <w:r w:rsidRPr="00E6125D">
        <w:rPr>
          <w:rFonts w:ascii="Trebuchet MS" w:eastAsia="Times New Roman" w:hAnsi="Trebuchet MS" w:cs="Arial"/>
          <w:b/>
          <w:bCs/>
          <w:color w:val="333333"/>
          <w:sz w:val="20"/>
          <w:szCs w:val="20"/>
          <w:lang w:eastAsia="fr-FR"/>
        </w:rPr>
        <w:t>La création d’un E.R.P fait l’objet d’une décision de l’autorité compétente au préalable des travaux (Arrêté municipal).</w:t>
      </w:r>
      <w:r w:rsidRPr="00E6125D">
        <w:rPr>
          <w:rFonts w:ascii="Trebuchet MS" w:eastAsia="Times New Roman" w:hAnsi="Trebuchet MS" w:cs="Arial"/>
          <w:color w:val="333333"/>
          <w:sz w:val="20"/>
          <w:szCs w:val="20"/>
          <w:lang w:eastAsia="fr-FR"/>
        </w:rPr>
        <w:t> </w:t>
      </w:r>
    </w:p>
    <w:p w:rsidR="00E6125D" w:rsidRPr="00E6125D" w:rsidRDefault="00E6125D" w:rsidP="00E6125D">
      <w:pPr>
        <w:spacing w:before="100" w:beforeAutospacing="1" w:after="100" w:afterAutospacing="1" w:line="240" w:lineRule="auto"/>
        <w:rPr>
          <w:rFonts w:ascii="Trebuchet MS" w:eastAsia="Times New Roman" w:hAnsi="Trebuchet MS" w:cs="Arial"/>
          <w:color w:val="333333"/>
          <w:sz w:val="20"/>
          <w:szCs w:val="20"/>
          <w:lang w:eastAsia="fr-FR"/>
        </w:rPr>
      </w:pPr>
      <w:r w:rsidRPr="00E6125D">
        <w:rPr>
          <w:rFonts w:ascii="Trebuchet MS" w:eastAsia="Times New Roman" w:hAnsi="Trebuchet MS" w:cs="Arial"/>
          <w:b/>
          <w:bCs/>
          <w:color w:val="333333"/>
          <w:sz w:val="20"/>
          <w:szCs w:val="20"/>
          <w:lang w:eastAsia="fr-FR"/>
        </w:rPr>
        <w:t>Le projet peut être porté par le pétitionnaire sous deux formes suivant la nature des travaux : </w:t>
      </w:r>
    </w:p>
    <w:p w:rsidR="00E6125D" w:rsidRPr="00E6125D" w:rsidRDefault="00E6125D" w:rsidP="00E6125D">
      <w:pPr>
        <w:numPr>
          <w:ilvl w:val="0"/>
          <w:numId w:val="2"/>
        </w:numPr>
        <w:spacing w:before="100" w:beforeAutospacing="1" w:after="100" w:afterAutospacing="1" w:line="240" w:lineRule="auto"/>
        <w:ind w:left="0"/>
        <w:rPr>
          <w:rFonts w:ascii="Trebuchet MS" w:eastAsia="Times New Roman" w:hAnsi="Trebuchet MS" w:cs="Arial"/>
          <w:color w:val="333333"/>
          <w:sz w:val="20"/>
          <w:szCs w:val="20"/>
          <w:lang w:eastAsia="fr-FR"/>
        </w:rPr>
      </w:pPr>
      <w:r w:rsidRPr="00E6125D">
        <w:rPr>
          <w:rFonts w:ascii="Trebuchet MS" w:eastAsia="Times New Roman" w:hAnsi="Trebuchet MS" w:cs="Arial"/>
          <w:color w:val="333333"/>
          <w:sz w:val="20"/>
          <w:szCs w:val="20"/>
          <w:lang w:eastAsia="fr-FR"/>
        </w:rPr>
        <w:t xml:space="preserve">Le Permis de Construire (CERFA P.C. + dossier spécifique E.R.P), pour la création de surface du bâti en plus de l’aménagement. </w:t>
      </w:r>
      <w:proofErr w:type="gramStart"/>
      <w:r w:rsidRPr="00E6125D">
        <w:rPr>
          <w:rFonts w:ascii="Trebuchet MS" w:eastAsia="Times New Roman" w:hAnsi="Trebuchet MS" w:cs="Arial"/>
          <w:color w:val="333333"/>
          <w:sz w:val="20"/>
          <w:szCs w:val="20"/>
          <w:lang w:eastAsia="fr-FR"/>
        </w:rPr>
        <w:t>( lien</w:t>
      </w:r>
      <w:proofErr w:type="gramEnd"/>
      <w:r w:rsidRPr="00E6125D">
        <w:rPr>
          <w:rFonts w:ascii="Trebuchet MS" w:eastAsia="Times New Roman" w:hAnsi="Trebuchet MS" w:cs="Arial"/>
          <w:color w:val="333333"/>
          <w:sz w:val="20"/>
          <w:szCs w:val="20"/>
          <w:lang w:eastAsia="fr-FR"/>
        </w:rPr>
        <w:t xml:space="preserve"> démarche Urbanisme PC d’ERP voir Lucie </w:t>
      </w:r>
      <w:proofErr w:type="spellStart"/>
      <w:r w:rsidRPr="00E6125D">
        <w:rPr>
          <w:rFonts w:ascii="Trebuchet MS" w:eastAsia="Times New Roman" w:hAnsi="Trebuchet MS" w:cs="Arial"/>
          <w:color w:val="333333"/>
          <w:sz w:val="20"/>
          <w:szCs w:val="20"/>
          <w:lang w:eastAsia="fr-FR"/>
        </w:rPr>
        <w:t>Meletopoulos</w:t>
      </w:r>
      <w:proofErr w:type="spellEnd"/>
      <w:r w:rsidRPr="00E6125D">
        <w:rPr>
          <w:rFonts w:ascii="Trebuchet MS" w:eastAsia="Times New Roman" w:hAnsi="Trebuchet MS" w:cs="Arial"/>
          <w:color w:val="333333"/>
          <w:sz w:val="20"/>
          <w:szCs w:val="20"/>
          <w:lang w:eastAsia="fr-FR"/>
        </w:rPr>
        <w:t>) </w:t>
      </w:r>
    </w:p>
    <w:p w:rsidR="00E6125D" w:rsidRPr="00E6125D" w:rsidRDefault="00E6125D" w:rsidP="00E6125D">
      <w:pPr>
        <w:numPr>
          <w:ilvl w:val="0"/>
          <w:numId w:val="3"/>
        </w:numPr>
        <w:spacing w:before="100" w:beforeAutospacing="1" w:after="100" w:afterAutospacing="1" w:line="240" w:lineRule="auto"/>
        <w:ind w:left="0"/>
        <w:rPr>
          <w:rFonts w:ascii="Trebuchet MS" w:eastAsia="Times New Roman" w:hAnsi="Trebuchet MS" w:cs="Arial"/>
          <w:color w:val="333333"/>
          <w:sz w:val="20"/>
          <w:szCs w:val="20"/>
          <w:lang w:eastAsia="fr-FR"/>
        </w:rPr>
      </w:pPr>
      <w:r w:rsidRPr="00E6125D">
        <w:rPr>
          <w:rFonts w:ascii="Trebuchet MS" w:eastAsia="Times New Roman" w:hAnsi="Trebuchet MS" w:cs="Arial"/>
          <w:color w:val="333333"/>
          <w:sz w:val="20"/>
          <w:szCs w:val="20"/>
          <w:lang w:eastAsia="fr-FR"/>
        </w:rPr>
        <w:t xml:space="preserve">La demande d’autorisation de construire, d’aménager ou de modifier un E.R.P (CERFA 13824* 3) dit « A.T. », pour une création et/ou un aménagement dans un bâtiment existant. </w:t>
      </w:r>
      <w:proofErr w:type="gramStart"/>
      <w:r w:rsidRPr="00E6125D">
        <w:rPr>
          <w:rFonts w:ascii="Trebuchet MS" w:eastAsia="Times New Roman" w:hAnsi="Trebuchet MS" w:cs="Arial"/>
          <w:color w:val="333333"/>
          <w:sz w:val="20"/>
          <w:szCs w:val="20"/>
          <w:lang w:eastAsia="fr-FR"/>
        </w:rPr>
        <w:t>( lien</w:t>
      </w:r>
      <w:proofErr w:type="gramEnd"/>
      <w:r w:rsidRPr="00E6125D">
        <w:rPr>
          <w:rFonts w:ascii="Trebuchet MS" w:eastAsia="Times New Roman" w:hAnsi="Trebuchet MS" w:cs="Arial"/>
          <w:color w:val="333333"/>
          <w:sz w:val="20"/>
          <w:szCs w:val="20"/>
          <w:lang w:eastAsia="fr-FR"/>
        </w:rPr>
        <w:t xml:space="preserve"> démarche ) </w:t>
      </w:r>
    </w:p>
    <w:p w:rsidR="00E6125D" w:rsidRPr="00E6125D" w:rsidRDefault="00E6125D" w:rsidP="00E6125D">
      <w:pPr>
        <w:spacing w:before="100" w:beforeAutospacing="1" w:after="100" w:afterAutospacing="1" w:line="240" w:lineRule="auto"/>
        <w:rPr>
          <w:rFonts w:ascii="Trebuchet MS" w:eastAsia="Times New Roman" w:hAnsi="Trebuchet MS" w:cs="Arial"/>
          <w:color w:val="333333"/>
          <w:sz w:val="20"/>
          <w:szCs w:val="20"/>
          <w:lang w:eastAsia="fr-FR"/>
        </w:rPr>
      </w:pPr>
      <w:r w:rsidRPr="00E6125D">
        <w:rPr>
          <w:rFonts w:ascii="Trebuchet MS" w:eastAsia="Times New Roman" w:hAnsi="Trebuchet MS" w:cs="Arial"/>
          <w:b/>
          <w:bCs/>
          <w:color w:val="333333"/>
          <w:sz w:val="20"/>
          <w:szCs w:val="20"/>
          <w:lang w:eastAsia="fr-FR"/>
        </w:rPr>
        <w:t>Dépôt de dossier P.C. (Service Urbanisme Réglementaire) ou A.T. (Service Sécurité des Bâtiments et Manifestations) ou transmission par courrier à :</w:t>
      </w:r>
    </w:p>
    <w:p w:rsidR="00E6125D" w:rsidRPr="00E6125D" w:rsidRDefault="00E6125D" w:rsidP="00E6125D">
      <w:pPr>
        <w:spacing w:before="100" w:beforeAutospacing="1" w:after="100" w:afterAutospacing="1" w:line="240" w:lineRule="auto"/>
        <w:rPr>
          <w:rFonts w:ascii="Trebuchet MS" w:eastAsia="Times New Roman" w:hAnsi="Trebuchet MS" w:cs="Arial"/>
          <w:color w:val="333333"/>
          <w:sz w:val="20"/>
          <w:szCs w:val="20"/>
          <w:lang w:eastAsia="fr-FR"/>
        </w:rPr>
      </w:pPr>
      <w:r w:rsidRPr="00E6125D">
        <w:rPr>
          <w:rFonts w:ascii="Trebuchet MS" w:eastAsia="Times New Roman" w:hAnsi="Trebuchet MS" w:cs="Arial"/>
          <w:color w:val="333333"/>
          <w:sz w:val="20"/>
          <w:szCs w:val="20"/>
          <w:lang w:eastAsia="fr-FR"/>
        </w:rPr>
        <w:t>Mairie de Nîmes</w:t>
      </w:r>
    </w:p>
    <w:p w:rsidR="00E6125D" w:rsidRPr="00E6125D" w:rsidRDefault="00E6125D" w:rsidP="00E6125D">
      <w:pPr>
        <w:spacing w:before="100" w:beforeAutospacing="1" w:after="100" w:afterAutospacing="1" w:line="240" w:lineRule="auto"/>
        <w:rPr>
          <w:rFonts w:ascii="Trebuchet MS" w:eastAsia="Times New Roman" w:hAnsi="Trebuchet MS" w:cs="Arial"/>
          <w:color w:val="333333"/>
          <w:sz w:val="20"/>
          <w:szCs w:val="20"/>
          <w:lang w:eastAsia="fr-FR"/>
        </w:rPr>
      </w:pPr>
      <w:r w:rsidRPr="00E6125D">
        <w:rPr>
          <w:rFonts w:ascii="Trebuchet MS" w:eastAsia="Times New Roman" w:hAnsi="Trebuchet MS" w:cs="Arial"/>
          <w:color w:val="333333"/>
          <w:sz w:val="20"/>
          <w:szCs w:val="20"/>
          <w:lang w:eastAsia="fr-FR"/>
        </w:rPr>
        <w:t>Service (concerné)</w:t>
      </w:r>
    </w:p>
    <w:p w:rsidR="00E6125D" w:rsidRPr="00E6125D" w:rsidRDefault="00E6125D" w:rsidP="00E6125D">
      <w:pPr>
        <w:spacing w:before="100" w:beforeAutospacing="1" w:after="100" w:afterAutospacing="1" w:line="240" w:lineRule="auto"/>
        <w:rPr>
          <w:rFonts w:ascii="Trebuchet MS" w:eastAsia="Times New Roman" w:hAnsi="Trebuchet MS" w:cs="Arial"/>
          <w:color w:val="333333"/>
          <w:sz w:val="20"/>
          <w:szCs w:val="20"/>
          <w:lang w:eastAsia="fr-FR"/>
        </w:rPr>
      </w:pPr>
      <w:r w:rsidRPr="00E6125D">
        <w:rPr>
          <w:rFonts w:ascii="Trebuchet MS" w:eastAsia="Times New Roman" w:hAnsi="Trebuchet MS" w:cs="Arial"/>
          <w:color w:val="333333"/>
          <w:sz w:val="20"/>
          <w:szCs w:val="20"/>
          <w:lang w:eastAsia="fr-FR"/>
        </w:rPr>
        <w:t>Place de l’hôtel de ville</w:t>
      </w:r>
    </w:p>
    <w:p w:rsidR="00E6125D" w:rsidRPr="00E6125D" w:rsidRDefault="00E6125D" w:rsidP="00E6125D">
      <w:pPr>
        <w:spacing w:before="100" w:beforeAutospacing="1" w:after="100" w:afterAutospacing="1" w:line="240" w:lineRule="auto"/>
        <w:rPr>
          <w:rFonts w:ascii="Trebuchet MS" w:eastAsia="Times New Roman" w:hAnsi="Trebuchet MS" w:cs="Arial"/>
          <w:color w:val="333333"/>
          <w:sz w:val="20"/>
          <w:szCs w:val="20"/>
          <w:lang w:eastAsia="fr-FR"/>
        </w:rPr>
      </w:pPr>
      <w:r w:rsidRPr="00E6125D">
        <w:rPr>
          <w:rFonts w:ascii="Trebuchet MS" w:eastAsia="Times New Roman" w:hAnsi="Trebuchet MS" w:cs="Arial"/>
          <w:color w:val="333333"/>
          <w:sz w:val="20"/>
          <w:szCs w:val="20"/>
          <w:lang w:eastAsia="fr-FR"/>
        </w:rPr>
        <w:t>30033 Nîmes cedex 9  </w:t>
      </w:r>
    </w:p>
    <w:p w:rsidR="00E6125D" w:rsidRPr="00E6125D" w:rsidRDefault="00E6125D" w:rsidP="00E6125D">
      <w:pPr>
        <w:spacing w:before="100" w:beforeAutospacing="1" w:after="100" w:afterAutospacing="1" w:line="240" w:lineRule="auto"/>
        <w:rPr>
          <w:rFonts w:ascii="Trebuchet MS" w:eastAsia="Times New Roman" w:hAnsi="Trebuchet MS" w:cs="Arial"/>
          <w:color w:val="333333"/>
          <w:sz w:val="20"/>
          <w:szCs w:val="20"/>
          <w:lang w:eastAsia="fr-FR"/>
        </w:rPr>
      </w:pPr>
      <w:r w:rsidRPr="00E6125D">
        <w:rPr>
          <w:rFonts w:ascii="Trebuchet MS" w:eastAsia="Times New Roman" w:hAnsi="Trebuchet MS" w:cs="Arial"/>
          <w:b/>
          <w:bCs/>
          <w:color w:val="333333"/>
          <w:sz w:val="20"/>
          <w:szCs w:val="20"/>
          <w:lang w:eastAsia="fr-FR"/>
        </w:rPr>
        <w:t>Décision : Arrêté d’autorisation ou de refus :</w:t>
      </w:r>
      <w:r w:rsidRPr="00E6125D">
        <w:rPr>
          <w:rFonts w:ascii="Trebuchet MS" w:eastAsia="Times New Roman" w:hAnsi="Trebuchet MS" w:cs="Arial"/>
          <w:color w:val="333333"/>
          <w:sz w:val="20"/>
          <w:szCs w:val="20"/>
          <w:lang w:eastAsia="fr-FR"/>
        </w:rPr>
        <w:t>  </w:t>
      </w:r>
    </w:p>
    <w:p w:rsidR="00E6125D" w:rsidRPr="00E6125D" w:rsidRDefault="00E6125D" w:rsidP="00E6125D">
      <w:pPr>
        <w:spacing w:before="100" w:beforeAutospacing="1" w:after="100" w:afterAutospacing="1" w:line="240" w:lineRule="auto"/>
        <w:rPr>
          <w:rFonts w:ascii="Trebuchet MS" w:eastAsia="Times New Roman" w:hAnsi="Trebuchet MS" w:cs="Arial"/>
          <w:color w:val="333333"/>
          <w:sz w:val="20"/>
          <w:szCs w:val="20"/>
          <w:lang w:eastAsia="fr-FR"/>
        </w:rPr>
      </w:pPr>
      <w:r w:rsidRPr="00E6125D">
        <w:rPr>
          <w:rFonts w:ascii="Trebuchet MS" w:eastAsia="Times New Roman" w:hAnsi="Trebuchet MS" w:cs="Arial"/>
          <w:color w:val="333333"/>
          <w:sz w:val="20"/>
          <w:szCs w:val="20"/>
          <w:lang w:eastAsia="fr-FR"/>
        </w:rPr>
        <w:lastRenderedPageBreak/>
        <w:t>Suite à un arrêté d’autorisation, les travaux peuvent être engagés (voir déclaration de commencement de travaux … pour P.C., pas de déclaration pour A.T.). </w:t>
      </w:r>
    </w:p>
    <w:p w:rsidR="00E6125D" w:rsidRPr="00E6125D" w:rsidRDefault="00E6125D" w:rsidP="00E6125D">
      <w:pPr>
        <w:spacing w:before="100" w:beforeAutospacing="1" w:after="100" w:afterAutospacing="1" w:line="240" w:lineRule="auto"/>
        <w:rPr>
          <w:rFonts w:ascii="Trebuchet MS" w:eastAsia="Times New Roman" w:hAnsi="Trebuchet MS" w:cs="Arial"/>
          <w:color w:val="333333"/>
          <w:sz w:val="20"/>
          <w:szCs w:val="20"/>
          <w:lang w:eastAsia="fr-FR"/>
        </w:rPr>
      </w:pPr>
      <w:r w:rsidRPr="00E6125D">
        <w:rPr>
          <w:rFonts w:ascii="Trebuchet MS" w:eastAsia="Times New Roman" w:hAnsi="Trebuchet MS" w:cs="Arial"/>
          <w:color w:val="333333"/>
          <w:sz w:val="20"/>
          <w:szCs w:val="20"/>
          <w:lang w:eastAsia="fr-FR"/>
        </w:rPr>
        <w:t>Suite à un arrêté de refus, un nouveau dossier devra être déposé en prenant en compte les prescriptions émises.  </w:t>
      </w:r>
    </w:p>
    <w:p w:rsidR="00E6125D" w:rsidRPr="00E6125D" w:rsidRDefault="00E6125D" w:rsidP="00E6125D">
      <w:pPr>
        <w:spacing w:before="100" w:beforeAutospacing="1" w:after="100" w:afterAutospacing="1" w:line="240" w:lineRule="auto"/>
        <w:rPr>
          <w:rFonts w:ascii="Trebuchet MS" w:eastAsia="Times New Roman" w:hAnsi="Trebuchet MS" w:cs="Arial"/>
          <w:color w:val="333333"/>
          <w:sz w:val="20"/>
          <w:szCs w:val="20"/>
          <w:lang w:eastAsia="fr-FR"/>
        </w:rPr>
      </w:pPr>
      <w:r w:rsidRPr="00E6125D">
        <w:rPr>
          <w:rFonts w:ascii="Trebuchet MS" w:eastAsia="Times New Roman" w:hAnsi="Trebuchet MS" w:cs="Arial"/>
          <w:i/>
          <w:iCs/>
          <w:color w:val="333333"/>
          <w:sz w:val="20"/>
          <w:szCs w:val="20"/>
          <w:lang w:eastAsia="fr-FR"/>
        </w:rPr>
        <w:t>Voir « Ouverture d’un E.R.P. »</w:t>
      </w:r>
    </w:p>
    <w:p w:rsidR="00E6125D" w:rsidRPr="00E6125D" w:rsidRDefault="00E6125D" w:rsidP="00E6125D">
      <w:pPr>
        <w:spacing w:after="100" w:afterAutospacing="1" w:line="240" w:lineRule="auto"/>
        <w:outlineLvl w:val="0"/>
        <w:rPr>
          <w:rFonts w:ascii="futurastd bold" w:eastAsia="Times New Roman" w:hAnsi="futurastd bold"/>
          <w:color w:val="333333"/>
          <w:kern w:val="36"/>
          <w:sz w:val="36"/>
          <w:szCs w:val="36"/>
          <w:lang w:eastAsia="fr-FR"/>
        </w:rPr>
      </w:pPr>
      <w:r w:rsidRPr="00E6125D">
        <w:rPr>
          <w:rFonts w:ascii="futurastd bold" w:eastAsia="Times New Roman" w:hAnsi="futurastd bold"/>
          <w:color w:val="333333"/>
          <w:kern w:val="36"/>
          <w:sz w:val="36"/>
          <w:szCs w:val="36"/>
          <w:lang w:eastAsia="fr-FR"/>
        </w:rPr>
        <w:t>OUVERTURE D’UN E.R.P.</w:t>
      </w:r>
    </w:p>
    <w:p w:rsidR="00E6125D" w:rsidRPr="00E6125D" w:rsidRDefault="00E6125D" w:rsidP="00E6125D">
      <w:pPr>
        <w:spacing w:before="100" w:beforeAutospacing="1" w:after="100" w:afterAutospacing="1" w:line="240" w:lineRule="auto"/>
        <w:rPr>
          <w:rFonts w:ascii="Trebuchet MS" w:eastAsia="Times New Roman" w:hAnsi="Trebuchet MS"/>
          <w:color w:val="333333"/>
          <w:sz w:val="20"/>
          <w:szCs w:val="20"/>
          <w:lang w:eastAsia="fr-FR"/>
        </w:rPr>
      </w:pPr>
      <w:r w:rsidRPr="00E6125D">
        <w:rPr>
          <w:rFonts w:ascii="Trebuchet MS" w:eastAsia="Times New Roman" w:hAnsi="Trebuchet MS"/>
          <w:b/>
          <w:bCs/>
          <w:color w:val="333333"/>
          <w:sz w:val="20"/>
          <w:szCs w:val="20"/>
          <w:lang w:eastAsia="fr-FR"/>
        </w:rPr>
        <w:t>Démarches à réaliser avant l’ouverture au public et suivant le classement de l’établissement :</w:t>
      </w:r>
      <w:r w:rsidRPr="00E6125D">
        <w:rPr>
          <w:rFonts w:ascii="Trebuchet MS" w:eastAsia="Times New Roman" w:hAnsi="Trebuchet MS"/>
          <w:color w:val="333333"/>
          <w:sz w:val="20"/>
          <w:szCs w:val="20"/>
          <w:lang w:eastAsia="fr-FR"/>
        </w:rPr>
        <w:t> </w:t>
      </w:r>
    </w:p>
    <w:p w:rsidR="00E6125D" w:rsidRPr="00E6125D" w:rsidRDefault="00E6125D" w:rsidP="00E6125D">
      <w:pPr>
        <w:numPr>
          <w:ilvl w:val="0"/>
          <w:numId w:val="4"/>
        </w:numPr>
        <w:spacing w:before="100" w:beforeAutospacing="1" w:after="100" w:afterAutospacing="1" w:line="240" w:lineRule="auto"/>
        <w:ind w:left="0"/>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Pour les E.R.P de 1, 2, 3, 4 et 5ème avec locaux à sommeil, le responsable doit demander la visite de réception par les commissions de sécurité et accessibilité compétentes, et ce, un mois avant la date souhaitée d’ouverture au public.</w:t>
      </w:r>
      <w:r w:rsidRPr="00E6125D">
        <w:rPr>
          <w:rFonts w:ascii="Trebuchet MS" w:eastAsia="Times New Roman" w:hAnsi="Trebuchet MS"/>
          <w:color w:val="333333"/>
          <w:sz w:val="20"/>
          <w:szCs w:val="20"/>
          <w:lang w:eastAsia="fr-FR"/>
        </w:rPr>
        <w:br/>
      </w:r>
      <w:r w:rsidRPr="00E6125D">
        <w:rPr>
          <w:rFonts w:ascii="Trebuchet MS" w:eastAsia="Times New Roman" w:hAnsi="Trebuchet MS"/>
          <w:color w:val="333333"/>
          <w:sz w:val="20"/>
          <w:szCs w:val="20"/>
          <w:lang w:eastAsia="fr-FR"/>
        </w:rPr>
        <w:br/>
        <w:t>L’attention des pétitionnaires est attirée sur le fait qu’aucune ouverture au public ne peut avoir lieu sans arrêté d’ouverture. A défaut, le pétitionnaire s’expose à des sanctions. </w:t>
      </w:r>
    </w:p>
    <w:p w:rsidR="00E6125D" w:rsidRPr="00E6125D" w:rsidRDefault="00E6125D" w:rsidP="00E6125D">
      <w:pPr>
        <w:numPr>
          <w:ilvl w:val="0"/>
          <w:numId w:val="5"/>
        </w:numPr>
        <w:spacing w:before="100" w:beforeAutospacing="1" w:after="100" w:afterAutospacing="1" w:line="240" w:lineRule="auto"/>
        <w:ind w:left="0"/>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Pour les E.R.P de 5ème catégorie sans locaux à sommeil : Pas d’obligation de demander la visite des commissions avant ouverture.</w:t>
      </w:r>
    </w:p>
    <w:p w:rsidR="00E6125D" w:rsidRPr="00E6125D" w:rsidRDefault="00E6125D" w:rsidP="00E6125D">
      <w:pPr>
        <w:spacing w:before="100" w:beforeAutospacing="1" w:after="100" w:afterAutospacing="1" w:line="240" w:lineRule="auto"/>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 xml:space="preserve">Le classement est repris dans l’arrêté et le </w:t>
      </w:r>
      <w:proofErr w:type="spellStart"/>
      <w:r w:rsidRPr="00E6125D">
        <w:rPr>
          <w:rFonts w:ascii="Trebuchet MS" w:eastAsia="Times New Roman" w:hAnsi="Trebuchet MS"/>
          <w:color w:val="333333"/>
          <w:sz w:val="20"/>
          <w:szCs w:val="20"/>
          <w:lang w:eastAsia="fr-FR"/>
        </w:rPr>
        <w:t>procès verbal</w:t>
      </w:r>
      <w:proofErr w:type="spellEnd"/>
      <w:r w:rsidRPr="00E6125D">
        <w:rPr>
          <w:rFonts w:ascii="Trebuchet MS" w:eastAsia="Times New Roman" w:hAnsi="Trebuchet MS"/>
          <w:color w:val="333333"/>
          <w:sz w:val="20"/>
          <w:szCs w:val="20"/>
          <w:lang w:eastAsia="fr-FR"/>
        </w:rPr>
        <w:t xml:space="preserve"> de la commission de sécurité annexé à la décision. </w:t>
      </w:r>
    </w:p>
    <w:p w:rsidR="00E6125D" w:rsidRPr="00E6125D" w:rsidRDefault="00E6125D" w:rsidP="00E6125D">
      <w:pPr>
        <w:spacing w:before="100" w:beforeAutospacing="1" w:after="100" w:afterAutospacing="1" w:line="240" w:lineRule="auto"/>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La demande d'autorisation d'ouverture, présentée par l'exploitant conformément à l'article R. 123-45 du Code de la Construction et de l'Habitation, est communiquée à la commission de sécurité qui procède alors à la visite de réception.</w:t>
      </w:r>
    </w:p>
    <w:p w:rsidR="00E6125D" w:rsidRPr="00E6125D" w:rsidRDefault="00E6125D" w:rsidP="00E6125D">
      <w:pPr>
        <w:spacing w:before="100" w:beforeAutospacing="1" w:after="100" w:afterAutospacing="1" w:line="240" w:lineRule="auto"/>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Cette demande doit être faite, par écrit à l’attention de Monsieur le Maire au moins 1 mois avant la date d’ouverture au public.</w:t>
      </w:r>
    </w:p>
    <w:p w:rsidR="00E6125D" w:rsidRPr="00E6125D" w:rsidRDefault="00E6125D" w:rsidP="00E6125D">
      <w:pPr>
        <w:spacing w:before="100" w:beforeAutospacing="1" w:after="100" w:afterAutospacing="1" w:line="240" w:lineRule="auto"/>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L'exploitant doit être en mesure de communiquer à la commission les dossiers de renseignements de détail des installations techniques mis à jour après exécution des travaux, et les rapports des organismes ou personnes chargés des vérifications techniques imposées par le présent règlement.</w:t>
      </w:r>
    </w:p>
    <w:p w:rsidR="00E6125D" w:rsidRPr="00E6125D" w:rsidRDefault="00E6125D" w:rsidP="00E6125D">
      <w:pPr>
        <w:spacing w:before="100" w:beforeAutospacing="1" w:after="100" w:afterAutospacing="1" w:line="240" w:lineRule="auto"/>
        <w:rPr>
          <w:rFonts w:ascii="Trebuchet MS" w:eastAsia="Times New Roman" w:hAnsi="Trebuchet MS"/>
          <w:color w:val="333333"/>
          <w:sz w:val="20"/>
          <w:szCs w:val="20"/>
          <w:lang w:eastAsia="fr-FR"/>
        </w:rPr>
      </w:pPr>
      <w:r w:rsidRPr="00E6125D">
        <w:rPr>
          <w:rFonts w:ascii="Trebuchet MS" w:eastAsia="Times New Roman" w:hAnsi="Trebuchet MS"/>
          <w:b/>
          <w:bCs/>
          <w:color w:val="333333"/>
          <w:sz w:val="20"/>
          <w:szCs w:val="20"/>
          <w:lang w:eastAsia="fr-FR"/>
        </w:rPr>
        <w:t>Procédure avant ouverture :</w:t>
      </w:r>
      <w:r w:rsidRPr="00E6125D">
        <w:rPr>
          <w:rFonts w:ascii="Trebuchet MS" w:eastAsia="Times New Roman" w:hAnsi="Trebuchet MS"/>
          <w:color w:val="333333"/>
          <w:sz w:val="20"/>
          <w:szCs w:val="20"/>
          <w:lang w:eastAsia="fr-FR"/>
        </w:rPr>
        <w:t> </w:t>
      </w:r>
    </w:p>
    <w:p w:rsidR="00E6125D" w:rsidRPr="00E6125D" w:rsidRDefault="00E6125D" w:rsidP="00E6125D">
      <w:pPr>
        <w:spacing w:before="100" w:beforeAutospacing="1" w:after="100" w:afterAutospacing="1" w:line="240" w:lineRule="auto"/>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Un mois avant ouverture au public le pétitionnaire doit faire la demande de passage de la commission compétente de sécurité (et accessibilité pour les AT) pour réceptionner les travaux </w:t>
      </w:r>
    </w:p>
    <w:p w:rsidR="00E6125D" w:rsidRPr="00E6125D" w:rsidRDefault="00E6125D" w:rsidP="00E6125D">
      <w:pPr>
        <w:spacing w:before="100" w:beforeAutospacing="1" w:after="100" w:afterAutospacing="1" w:line="240" w:lineRule="auto"/>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Il doit fournir dès que possible et au plus tard le jour de la commission :</w:t>
      </w:r>
    </w:p>
    <w:p w:rsidR="00E6125D" w:rsidRPr="00E6125D" w:rsidRDefault="00E6125D" w:rsidP="00E6125D">
      <w:pPr>
        <w:numPr>
          <w:ilvl w:val="0"/>
          <w:numId w:val="6"/>
        </w:numPr>
        <w:spacing w:before="100" w:beforeAutospacing="1" w:after="100" w:afterAutospacing="1" w:line="240" w:lineRule="auto"/>
        <w:ind w:left="0"/>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un Rapport de Vérifications Réglementaires Après Travaux rédigé par un organisme de contrôle agréé</w:t>
      </w:r>
    </w:p>
    <w:p w:rsidR="00E6125D" w:rsidRPr="00E6125D" w:rsidRDefault="00E6125D" w:rsidP="00E6125D">
      <w:pPr>
        <w:numPr>
          <w:ilvl w:val="0"/>
          <w:numId w:val="6"/>
        </w:numPr>
        <w:spacing w:before="100" w:beforeAutospacing="1" w:after="100" w:afterAutospacing="1" w:line="240" w:lineRule="auto"/>
        <w:ind w:left="0"/>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l’attestation d’accessibilité (que pour les Permis de Construire) par un organisme de contrôle agréé ou un architecte autre que celui qui a suivi le projet. </w:t>
      </w:r>
    </w:p>
    <w:p w:rsidR="00E6125D" w:rsidRPr="00E6125D" w:rsidRDefault="00E6125D" w:rsidP="00E6125D">
      <w:pPr>
        <w:spacing w:before="100" w:beforeAutospacing="1" w:after="100" w:afterAutospacing="1" w:line="240" w:lineRule="auto"/>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Lors de la visite de réception des avis sont rendus :</w:t>
      </w:r>
    </w:p>
    <w:p w:rsidR="00E6125D" w:rsidRPr="00E6125D" w:rsidRDefault="00E6125D" w:rsidP="00E6125D">
      <w:pPr>
        <w:numPr>
          <w:ilvl w:val="0"/>
          <w:numId w:val="7"/>
        </w:numPr>
        <w:spacing w:before="100" w:beforeAutospacing="1" w:after="100" w:afterAutospacing="1" w:line="240" w:lineRule="auto"/>
        <w:ind w:left="0"/>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Par la commission de sécurité</w:t>
      </w:r>
    </w:p>
    <w:p w:rsidR="00E6125D" w:rsidRPr="00E6125D" w:rsidRDefault="00E6125D" w:rsidP="00E6125D">
      <w:pPr>
        <w:numPr>
          <w:ilvl w:val="0"/>
          <w:numId w:val="7"/>
        </w:numPr>
        <w:spacing w:before="100" w:beforeAutospacing="1" w:after="100" w:afterAutospacing="1" w:line="240" w:lineRule="auto"/>
        <w:ind w:left="0"/>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Par la commission d’accessibilité (A.T.) ou l’Attestation d’Accessibilité est récupérée vierge d’observation (P.C.).</w:t>
      </w:r>
    </w:p>
    <w:p w:rsidR="00E6125D" w:rsidRPr="00E6125D" w:rsidRDefault="00E6125D" w:rsidP="00E6125D">
      <w:pPr>
        <w:numPr>
          <w:ilvl w:val="0"/>
          <w:numId w:val="7"/>
        </w:numPr>
        <w:spacing w:before="100" w:beforeAutospacing="1" w:after="100" w:afterAutospacing="1" w:line="240" w:lineRule="auto"/>
        <w:ind w:left="0"/>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Avec l’avis favorable de la commission de sécurité.</w:t>
      </w:r>
    </w:p>
    <w:p w:rsidR="00E6125D" w:rsidRPr="00E6125D" w:rsidRDefault="00E6125D" w:rsidP="00E6125D">
      <w:pPr>
        <w:numPr>
          <w:ilvl w:val="0"/>
          <w:numId w:val="7"/>
        </w:numPr>
        <w:spacing w:before="100" w:beforeAutospacing="1" w:after="100" w:afterAutospacing="1" w:line="240" w:lineRule="auto"/>
        <w:ind w:left="0"/>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L’attestation d’accessibilité (sans observation) ou avis favorable de la commission d’accessibilité.</w:t>
      </w:r>
    </w:p>
    <w:p w:rsidR="00E6125D" w:rsidRPr="00E6125D" w:rsidRDefault="00E6125D" w:rsidP="00E6125D">
      <w:pPr>
        <w:spacing w:before="100" w:beforeAutospacing="1" w:after="100" w:afterAutospacing="1" w:line="240" w:lineRule="auto"/>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Un arrêté d’ouverture est rédigé. Dès la notification de celui-ci, l’établissement peut ouvrir au public. </w:t>
      </w:r>
    </w:p>
    <w:p w:rsidR="00E6125D" w:rsidRPr="00E6125D" w:rsidRDefault="00E6125D" w:rsidP="00E6125D">
      <w:pPr>
        <w:spacing w:before="100" w:beforeAutospacing="1" w:after="100" w:afterAutospacing="1" w:line="240" w:lineRule="auto"/>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lastRenderedPageBreak/>
        <w:t>Pour sécuriser la date de l’ouverture au public, il est expressément recommandé de présenter un dossier complet, tant en sécurité qu’en accessibilité, au moment de la réception des travaux. Toutes réserves ou travaux inachevés entrainent un refus d’ouverture.</w:t>
      </w:r>
    </w:p>
    <w:p w:rsidR="00E6125D" w:rsidRPr="00E6125D" w:rsidRDefault="00E6125D" w:rsidP="00E6125D">
      <w:pPr>
        <w:spacing w:after="100" w:afterAutospacing="1" w:line="240" w:lineRule="auto"/>
        <w:outlineLvl w:val="0"/>
        <w:rPr>
          <w:rFonts w:ascii="futurastd bold" w:eastAsia="Times New Roman" w:hAnsi="futurastd bold"/>
          <w:color w:val="333333"/>
          <w:kern w:val="36"/>
          <w:sz w:val="36"/>
          <w:szCs w:val="36"/>
          <w:lang w:eastAsia="fr-FR"/>
        </w:rPr>
      </w:pPr>
      <w:r w:rsidRPr="00E6125D">
        <w:rPr>
          <w:rFonts w:ascii="futurastd bold" w:eastAsia="Times New Roman" w:hAnsi="futurastd bold"/>
          <w:color w:val="333333"/>
          <w:kern w:val="36"/>
          <w:sz w:val="36"/>
          <w:szCs w:val="36"/>
          <w:lang w:eastAsia="fr-FR"/>
        </w:rPr>
        <w:t>EXPLOITATION D’UN E.R.P</w:t>
      </w:r>
    </w:p>
    <w:p w:rsidR="00E6125D" w:rsidRPr="00E6125D" w:rsidRDefault="00E6125D" w:rsidP="00E6125D">
      <w:pPr>
        <w:spacing w:before="100" w:beforeAutospacing="1" w:after="100" w:afterAutospacing="1" w:line="240" w:lineRule="auto"/>
        <w:rPr>
          <w:rFonts w:ascii="Trebuchet MS" w:eastAsia="Times New Roman" w:hAnsi="Trebuchet MS"/>
          <w:color w:val="333333"/>
          <w:sz w:val="20"/>
          <w:szCs w:val="20"/>
          <w:lang w:eastAsia="fr-FR"/>
        </w:rPr>
      </w:pPr>
      <w:r w:rsidRPr="00E6125D">
        <w:rPr>
          <w:rFonts w:ascii="Trebuchet MS" w:eastAsia="Times New Roman" w:hAnsi="Trebuchet MS"/>
          <w:b/>
          <w:bCs/>
          <w:color w:val="333333"/>
          <w:sz w:val="20"/>
          <w:szCs w:val="20"/>
          <w:lang w:eastAsia="fr-FR"/>
        </w:rPr>
        <w:t>Obligations de l’exploitant :</w:t>
      </w:r>
      <w:r w:rsidRPr="00E6125D">
        <w:rPr>
          <w:rFonts w:ascii="Trebuchet MS" w:eastAsia="Times New Roman" w:hAnsi="Trebuchet MS"/>
          <w:color w:val="333333"/>
          <w:sz w:val="20"/>
          <w:szCs w:val="20"/>
          <w:lang w:eastAsia="fr-FR"/>
        </w:rPr>
        <w:t> </w:t>
      </w:r>
    </w:p>
    <w:p w:rsidR="00E6125D" w:rsidRPr="00E6125D" w:rsidRDefault="00E6125D" w:rsidP="00E6125D">
      <w:pPr>
        <w:spacing w:before="100" w:beforeAutospacing="1" w:after="100" w:afterAutospacing="1" w:line="240" w:lineRule="auto"/>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Les exploitants (le propriétaire et/ou l’exploitant et/ou le locataire) doivent respecter plusieurs obligations dans la gestion de leur établissement en tant que responsable de la sécurité du public reçu : </w:t>
      </w:r>
    </w:p>
    <w:p w:rsidR="00E6125D" w:rsidRPr="00E6125D" w:rsidRDefault="00E6125D" w:rsidP="00E6125D">
      <w:pPr>
        <w:numPr>
          <w:ilvl w:val="0"/>
          <w:numId w:val="8"/>
        </w:numPr>
        <w:spacing w:before="100" w:beforeAutospacing="1" w:after="100" w:afterAutospacing="1" w:line="240" w:lineRule="auto"/>
        <w:ind w:left="0"/>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Etre présent lors des visites des commissions de sécurités compétentes.</w:t>
      </w:r>
    </w:p>
    <w:p w:rsidR="00E6125D" w:rsidRPr="00E6125D" w:rsidRDefault="00E6125D" w:rsidP="00E6125D">
      <w:pPr>
        <w:numPr>
          <w:ilvl w:val="0"/>
          <w:numId w:val="8"/>
        </w:numPr>
        <w:spacing w:before="100" w:beforeAutospacing="1" w:after="100" w:afterAutospacing="1" w:line="240" w:lineRule="auto"/>
        <w:ind w:left="0"/>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Faire procéder aux vérifications règlementaires des installations techniques.</w:t>
      </w:r>
    </w:p>
    <w:p w:rsidR="00E6125D" w:rsidRPr="00E6125D" w:rsidRDefault="00E6125D" w:rsidP="00E6125D">
      <w:pPr>
        <w:numPr>
          <w:ilvl w:val="0"/>
          <w:numId w:val="8"/>
        </w:numPr>
        <w:spacing w:before="100" w:beforeAutospacing="1" w:after="100" w:afterAutospacing="1" w:line="240" w:lineRule="auto"/>
        <w:ind w:left="0"/>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Tenir à jour un registre de sécurité.</w:t>
      </w:r>
    </w:p>
    <w:p w:rsidR="00E6125D" w:rsidRPr="00E6125D" w:rsidRDefault="00E6125D" w:rsidP="00E6125D">
      <w:pPr>
        <w:numPr>
          <w:ilvl w:val="0"/>
          <w:numId w:val="8"/>
        </w:numPr>
        <w:spacing w:before="100" w:beforeAutospacing="1" w:after="100" w:afterAutospacing="1" w:line="240" w:lineRule="auto"/>
        <w:ind w:left="0"/>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Veiller, d’une façon générale à l’application du règlement de sécurité, des prescriptions des commissions et des décisions du Maire.</w:t>
      </w:r>
    </w:p>
    <w:p w:rsidR="00E6125D" w:rsidRPr="00E6125D" w:rsidRDefault="00E6125D" w:rsidP="00E6125D">
      <w:pPr>
        <w:numPr>
          <w:ilvl w:val="0"/>
          <w:numId w:val="8"/>
        </w:numPr>
        <w:spacing w:before="100" w:beforeAutospacing="1" w:after="100" w:afterAutospacing="1" w:line="240" w:lineRule="auto"/>
        <w:ind w:left="0"/>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Réaliser les exercices d’évacuation.</w:t>
      </w:r>
    </w:p>
    <w:p w:rsidR="00E6125D" w:rsidRPr="00E6125D" w:rsidRDefault="00E6125D" w:rsidP="00E6125D">
      <w:pPr>
        <w:spacing w:before="100" w:beforeAutospacing="1" w:after="100" w:afterAutospacing="1" w:line="240" w:lineRule="auto"/>
        <w:rPr>
          <w:rFonts w:ascii="Trebuchet MS" w:eastAsia="Times New Roman" w:hAnsi="Trebuchet MS"/>
          <w:color w:val="333333"/>
          <w:sz w:val="20"/>
          <w:szCs w:val="20"/>
          <w:lang w:eastAsia="fr-FR"/>
        </w:rPr>
      </w:pPr>
      <w:r w:rsidRPr="00E6125D">
        <w:rPr>
          <w:rFonts w:ascii="Trebuchet MS" w:eastAsia="Times New Roman" w:hAnsi="Trebuchet MS"/>
          <w:b/>
          <w:bCs/>
          <w:color w:val="333333"/>
          <w:sz w:val="20"/>
          <w:szCs w:val="20"/>
          <w:lang w:eastAsia="fr-FR"/>
        </w:rPr>
        <w:t>Les vérifications obligatoires :</w:t>
      </w:r>
      <w:r w:rsidRPr="00E6125D">
        <w:rPr>
          <w:rFonts w:ascii="Trebuchet MS" w:eastAsia="Times New Roman" w:hAnsi="Trebuchet MS"/>
          <w:color w:val="333333"/>
          <w:sz w:val="20"/>
          <w:szCs w:val="20"/>
          <w:lang w:eastAsia="fr-FR"/>
        </w:rPr>
        <w:t> </w:t>
      </w:r>
    </w:p>
    <w:p w:rsidR="00E6125D" w:rsidRPr="00E6125D" w:rsidRDefault="00E6125D" w:rsidP="00E6125D">
      <w:pPr>
        <w:spacing w:before="100" w:beforeAutospacing="1" w:after="100" w:afterAutospacing="1" w:line="240" w:lineRule="auto"/>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Les installations techniques doivent être vérifiées suivant une périodicité définie par le règlement (généralement annuellement). </w:t>
      </w:r>
    </w:p>
    <w:p w:rsidR="00E6125D" w:rsidRPr="00E6125D" w:rsidRDefault="00E6125D" w:rsidP="00E6125D">
      <w:pPr>
        <w:numPr>
          <w:ilvl w:val="0"/>
          <w:numId w:val="9"/>
        </w:numPr>
        <w:spacing w:before="100" w:beforeAutospacing="1" w:after="100" w:afterAutospacing="1" w:line="240" w:lineRule="auto"/>
        <w:ind w:left="0"/>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installations électriques et éclairage de sécurité</w:t>
      </w:r>
    </w:p>
    <w:p w:rsidR="00E6125D" w:rsidRPr="00E6125D" w:rsidRDefault="00E6125D" w:rsidP="00E6125D">
      <w:pPr>
        <w:numPr>
          <w:ilvl w:val="0"/>
          <w:numId w:val="9"/>
        </w:numPr>
        <w:spacing w:before="100" w:beforeAutospacing="1" w:after="100" w:afterAutospacing="1" w:line="240" w:lineRule="auto"/>
        <w:ind w:left="0"/>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organes de désenfumage</w:t>
      </w:r>
    </w:p>
    <w:p w:rsidR="00E6125D" w:rsidRPr="00E6125D" w:rsidRDefault="00E6125D" w:rsidP="00E6125D">
      <w:pPr>
        <w:numPr>
          <w:ilvl w:val="0"/>
          <w:numId w:val="9"/>
        </w:numPr>
        <w:spacing w:before="100" w:beforeAutospacing="1" w:after="100" w:afterAutospacing="1" w:line="240" w:lineRule="auto"/>
        <w:ind w:left="0"/>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moyens de secours</w:t>
      </w:r>
    </w:p>
    <w:p w:rsidR="00E6125D" w:rsidRPr="00E6125D" w:rsidRDefault="00E6125D" w:rsidP="00E6125D">
      <w:pPr>
        <w:numPr>
          <w:ilvl w:val="0"/>
          <w:numId w:val="9"/>
        </w:numPr>
        <w:spacing w:before="100" w:beforeAutospacing="1" w:after="100" w:afterAutospacing="1" w:line="240" w:lineRule="auto"/>
        <w:ind w:left="0"/>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alarme incendie ou SSI,</w:t>
      </w:r>
    </w:p>
    <w:p w:rsidR="00E6125D" w:rsidRPr="00E6125D" w:rsidRDefault="00E6125D" w:rsidP="00E6125D">
      <w:pPr>
        <w:numPr>
          <w:ilvl w:val="0"/>
          <w:numId w:val="9"/>
        </w:numPr>
        <w:spacing w:before="100" w:beforeAutospacing="1" w:after="100" w:afterAutospacing="1" w:line="240" w:lineRule="auto"/>
        <w:ind w:left="0"/>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extinction automatique,</w:t>
      </w:r>
    </w:p>
    <w:p w:rsidR="00E6125D" w:rsidRPr="00E6125D" w:rsidRDefault="00E6125D" w:rsidP="00E6125D">
      <w:pPr>
        <w:numPr>
          <w:ilvl w:val="0"/>
          <w:numId w:val="9"/>
        </w:numPr>
        <w:spacing w:before="100" w:beforeAutospacing="1" w:after="100" w:afterAutospacing="1" w:line="240" w:lineRule="auto"/>
        <w:ind w:left="0"/>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robinets d’incendie armés,</w:t>
      </w:r>
    </w:p>
    <w:p w:rsidR="00E6125D" w:rsidRPr="00E6125D" w:rsidRDefault="00E6125D" w:rsidP="00E6125D">
      <w:pPr>
        <w:numPr>
          <w:ilvl w:val="0"/>
          <w:numId w:val="9"/>
        </w:numPr>
        <w:spacing w:before="100" w:beforeAutospacing="1" w:after="100" w:afterAutospacing="1" w:line="240" w:lineRule="auto"/>
        <w:ind w:left="0"/>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extincteurs.</w:t>
      </w:r>
    </w:p>
    <w:p w:rsidR="00E6125D" w:rsidRPr="00E6125D" w:rsidRDefault="00E6125D" w:rsidP="00E6125D">
      <w:pPr>
        <w:numPr>
          <w:ilvl w:val="0"/>
          <w:numId w:val="9"/>
        </w:numPr>
        <w:spacing w:before="100" w:beforeAutospacing="1" w:after="100" w:afterAutospacing="1" w:line="240" w:lineRule="auto"/>
        <w:ind w:left="0"/>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chauffage</w:t>
      </w:r>
    </w:p>
    <w:p w:rsidR="00E6125D" w:rsidRPr="00E6125D" w:rsidRDefault="00E6125D" w:rsidP="00E6125D">
      <w:pPr>
        <w:numPr>
          <w:ilvl w:val="0"/>
          <w:numId w:val="9"/>
        </w:numPr>
        <w:spacing w:before="100" w:beforeAutospacing="1" w:after="100" w:afterAutospacing="1" w:line="240" w:lineRule="auto"/>
        <w:ind w:left="0"/>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installations de gaz</w:t>
      </w:r>
    </w:p>
    <w:p w:rsidR="00E6125D" w:rsidRPr="00E6125D" w:rsidRDefault="00E6125D" w:rsidP="00E6125D">
      <w:pPr>
        <w:numPr>
          <w:ilvl w:val="0"/>
          <w:numId w:val="9"/>
        </w:numPr>
        <w:spacing w:before="100" w:beforeAutospacing="1" w:after="100" w:afterAutospacing="1" w:line="240" w:lineRule="auto"/>
        <w:ind w:left="0"/>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ascenseurs, monte charges, portes à effacement latéral</w:t>
      </w:r>
    </w:p>
    <w:p w:rsidR="00E6125D" w:rsidRPr="00E6125D" w:rsidRDefault="00E6125D" w:rsidP="00E6125D">
      <w:pPr>
        <w:numPr>
          <w:ilvl w:val="0"/>
          <w:numId w:val="9"/>
        </w:numPr>
        <w:spacing w:before="100" w:beforeAutospacing="1" w:after="100" w:afterAutospacing="1" w:line="240" w:lineRule="auto"/>
        <w:ind w:left="0"/>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installations de cuisine</w:t>
      </w:r>
    </w:p>
    <w:p w:rsidR="00E6125D" w:rsidRPr="00E6125D" w:rsidRDefault="00E6125D" w:rsidP="00E6125D">
      <w:pPr>
        <w:numPr>
          <w:ilvl w:val="0"/>
          <w:numId w:val="9"/>
        </w:numPr>
        <w:spacing w:before="100" w:beforeAutospacing="1" w:after="100" w:afterAutospacing="1" w:line="240" w:lineRule="auto"/>
        <w:ind w:left="0"/>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fluides médicaux</w:t>
      </w:r>
    </w:p>
    <w:p w:rsidR="00E6125D" w:rsidRPr="00E6125D" w:rsidRDefault="00E6125D" w:rsidP="00E6125D">
      <w:pPr>
        <w:numPr>
          <w:ilvl w:val="0"/>
          <w:numId w:val="9"/>
        </w:numPr>
        <w:spacing w:before="100" w:beforeAutospacing="1" w:after="100" w:afterAutospacing="1" w:line="240" w:lineRule="auto"/>
        <w:ind w:left="0"/>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etc… </w:t>
      </w:r>
    </w:p>
    <w:p w:rsidR="00E6125D" w:rsidRPr="00E6125D" w:rsidRDefault="00E6125D" w:rsidP="00E6125D">
      <w:pPr>
        <w:spacing w:before="100" w:beforeAutospacing="1" w:after="100" w:afterAutospacing="1" w:line="240" w:lineRule="auto"/>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Ces vérifications doivent être effectuées par un bureau de contrôle agréé ou un technicien compétent selon le règlement de sécurité. </w:t>
      </w:r>
    </w:p>
    <w:p w:rsidR="00E6125D" w:rsidRPr="00E6125D" w:rsidRDefault="00E6125D" w:rsidP="00E6125D">
      <w:pPr>
        <w:spacing w:before="100" w:beforeAutospacing="1" w:after="100" w:afterAutospacing="1" w:line="240" w:lineRule="auto"/>
        <w:rPr>
          <w:rFonts w:ascii="Trebuchet MS" w:eastAsia="Times New Roman" w:hAnsi="Trebuchet MS"/>
          <w:color w:val="333333"/>
          <w:sz w:val="20"/>
          <w:szCs w:val="20"/>
          <w:lang w:eastAsia="fr-FR"/>
        </w:rPr>
      </w:pPr>
      <w:r w:rsidRPr="00E6125D">
        <w:rPr>
          <w:rFonts w:ascii="Trebuchet MS" w:eastAsia="Times New Roman" w:hAnsi="Trebuchet MS"/>
          <w:b/>
          <w:bCs/>
          <w:color w:val="333333"/>
          <w:sz w:val="20"/>
          <w:szCs w:val="20"/>
          <w:lang w:eastAsia="fr-FR"/>
        </w:rPr>
        <w:t>Tenue du registre de sécurité</w:t>
      </w:r>
      <w:r w:rsidRPr="00E6125D">
        <w:rPr>
          <w:rFonts w:ascii="Trebuchet MS" w:eastAsia="Times New Roman" w:hAnsi="Trebuchet MS"/>
          <w:color w:val="333333"/>
          <w:sz w:val="20"/>
          <w:szCs w:val="20"/>
          <w:lang w:eastAsia="fr-FR"/>
        </w:rPr>
        <w:t> </w:t>
      </w:r>
    </w:p>
    <w:p w:rsidR="00E6125D" w:rsidRPr="00E6125D" w:rsidRDefault="00E6125D" w:rsidP="00E6125D">
      <w:pPr>
        <w:spacing w:before="100" w:beforeAutospacing="1" w:after="100" w:afterAutospacing="1" w:line="240" w:lineRule="auto"/>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Article R. 123-51 du Code de la Construction et de l’Habitation.</w:t>
      </w:r>
    </w:p>
    <w:p w:rsidR="00E6125D" w:rsidRPr="00E6125D" w:rsidRDefault="00E6125D" w:rsidP="00E6125D">
      <w:pPr>
        <w:spacing w:before="100" w:beforeAutospacing="1" w:after="100" w:afterAutospacing="1" w:line="240" w:lineRule="auto"/>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Il doit être tenu un registre de sécurité sur lequel sont reportés les renseignements indispensables à la bonne marche du service de sécurité et, en particulier :</w:t>
      </w:r>
    </w:p>
    <w:p w:rsidR="00E6125D" w:rsidRPr="00E6125D" w:rsidRDefault="00E6125D" w:rsidP="00E6125D">
      <w:pPr>
        <w:numPr>
          <w:ilvl w:val="0"/>
          <w:numId w:val="10"/>
        </w:numPr>
        <w:spacing w:before="100" w:beforeAutospacing="1" w:after="100" w:afterAutospacing="1" w:line="240" w:lineRule="auto"/>
        <w:ind w:left="0"/>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L'état du personnel chargé du service d'incendie.</w:t>
      </w:r>
    </w:p>
    <w:p w:rsidR="00E6125D" w:rsidRPr="00E6125D" w:rsidRDefault="00E6125D" w:rsidP="00E6125D">
      <w:pPr>
        <w:numPr>
          <w:ilvl w:val="0"/>
          <w:numId w:val="10"/>
        </w:numPr>
        <w:spacing w:before="100" w:beforeAutospacing="1" w:after="100" w:afterAutospacing="1" w:line="240" w:lineRule="auto"/>
        <w:ind w:left="0"/>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Les diverses consignes, générales et particulières, établies en cas d'incendie.</w:t>
      </w:r>
    </w:p>
    <w:p w:rsidR="00E6125D" w:rsidRPr="00E6125D" w:rsidRDefault="00E6125D" w:rsidP="00E6125D">
      <w:pPr>
        <w:numPr>
          <w:ilvl w:val="0"/>
          <w:numId w:val="10"/>
        </w:numPr>
        <w:spacing w:before="100" w:beforeAutospacing="1" w:after="100" w:afterAutospacing="1" w:line="240" w:lineRule="auto"/>
        <w:ind w:left="0"/>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Les dates des contrôles et vérifications ainsi que les observations auxquelles ceux-ci ont donné lieu ; il doit être annoté la date, le nom du technicien, la nature de sa vérification et son résultat (bon fonctionnement, voir rapport, etc.), le nom de son entreprise ainsi que le tampon de celle-ci pour que la vérification soit bien prise en compte par la commission de sécurité.</w:t>
      </w:r>
    </w:p>
    <w:p w:rsidR="00E6125D" w:rsidRPr="00E6125D" w:rsidRDefault="00E6125D" w:rsidP="00E6125D">
      <w:pPr>
        <w:numPr>
          <w:ilvl w:val="0"/>
          <w:numId w:val="10"/>
        </w:numPr>
        <w:spacing w:before="100" w:beforeAutospacing="1" w:after="100" w:afterAutospacing="1" w:line="240" w:lineRule="auto"/>
        <w:ind w:left="0"/>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les dates des travaux d'aménagement et de transformation, leur nature, les noms du ou des entrepreneurs et, s'il y a lieu, de l'architecte ou du technicien chargés de surveiller les travaux.</w:t>
      </w:r>
    </w:p>
    <w:p w:rsidR="00E6125D" w:rsidRPr="00E6125D" w:rsidRDefault="00E6125D" w:rsidP="00E6125D">
      <w:pPr>
        <w:numPr>
          <w:ilvl w:val="0"/>
          <w:numId w:val="10"/>
        </w:numPr>
        <w:spacing w:before="100" w:beforeAutospacing="1" w:after="100" w:afterAutospacing="1" w:line="240" w:lineRule="auto"/>
        <w:ind w:left="0"/>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L’état des formations des personnels à l’utilisation des moyens de secours et à l’évacuation (procédure écrite à mettre en place) ainsi que les exercices d’évacuations et leur compte rendu.</w:t>
      </w:r>
    </w:p>
    <w:p w:rsidR="00E6125D" w:rsidRPr="00E6125D" w:rsidRDefault="00E6125D" w:rsidP="00E6125D">
      <w:pPr>
        <w:spacing w:after="100" w:afterAutospacing="1" w:line="240" w:lineRule="auto"/>
        <w:outlineLvl w:val="0"/>
        <w:rPr>
          <w:rFonts w:ascii="futurastd bold" w:eastAsia="Times New Roman" w:hAnsi="futurastd bold"/>
          <w:color w:val="333333"/>
          <w:kern w:val="36"/>
          <w:sz w:val="36"/>
          <w:szCs w:val="36"/>
          <w:lang w:eastAsia="fr-FR"/>
        </w:rPr>
      </w:pPr>
      <w:r w:rsidRPr="00E6125D">
        <w:rPr>
          <w:rFonts w:ascii="futurastd bold" w:eastAsia="Times New Roman" w:hAnsi="futurastd bold"/>
          <w:color w:val="333333"/>
          <w:kern w:val="36"/>
          <w:sz w:val="36"/>
          <w:szCs w:val="36"/>
          <w:lang w:eastAsia="fr-FR"/>
        </w:rPr>
        <w:lastRenderedPageBreak/>
        <w:t>CONTROLE DE L’ADMINISTRATION</w:t>
      </w:r>
    </w:p>
    <w:p w:rsidR="00E6125D" w:rsidRPr="00E6125D" w:rsidRDefault="00E6125D" w:rsidP="00E6125D">
      <w:pPr>
        <w:spacing w:before="100" w:beforeAutospacing="1" w:after="100" w:afterAutospacing="1" w:line="240" w:lineRule="auto"/>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Les établissements des 1re, 2e, 3e, 4e et 5ème catégorie avec locaux à sommeil sont visités tout au long de l’exploitation par les commissions de sécurité. Les responsables reçoivent les convocations des secrétariats des commissions compétentes. Les commissions de sécurité émettent des avis et des prescriptions et au vu de ces avis, le Maire responsable des E.R.P de sa commune peut sanctionner et/ou fermer par arrêté municipal un E.R.P. </w:t>
      </w:r>
    </w:p>
    <w:p w:rsidR="00E6125D" w:rsidRPr="00E6125D" w:rsidRDefault="00E6125D" w:rsidP="00E6125D">
      <w:pPr>
        <w:spacing w:before="100" w:beforeAutospacing="1" w:after="100" w:afterAutospacing="1" w:line="240" w:lineRule="auto"/>
        <w:rPr>
          <w:rFonts w:ascii="Trebuchet MS" w:eastAsia="Times New Roman" w:hAnsi="Trebuchet MS"/>
          <w:color w:val="333333"/>
          <w:sz w:val="20"/>
          <w:szCs w:val="20"/>
          <w:lang w:eastAsia="fr-FR"/>
        </w:rPr>
      </w:pPr>
      <w:r w:rsidRPr="00E6125D">
        <w:rPr>
          <w:rFonts w:ascii="Trebuchet MS" w:eastAsia="Times New Roman" w:hAnsi="Trebuchet MS"/>
          <w:b/>
          <w:bCs/>
          <w:color w:val="333333"/>
          <w:sz w:val="20"/>
          <w:szCs w:val="20"/>
          <w:lang w:eastAsia="fr-FR"/>
        </w:rPr>
        <w:t>Les visites par les commissions sont de différents types :</w:t>
      </w:r>
      <w:r w:rsidRPr="00E6125D">
        <w:rPr>
          <w:rFonts w:ascii="Trebuchet MS" w:eastAsia="Times New Roman" w:hAnsi="Trebuchet MS"/>
          <w:color w:val="333333"/>
          <w:sz w:val="20"/>
          <w:szCs w:val="20"/>
          <w:lang w:eastAsia="fr-FR"/>
        </w:rPr>
        <w:t> </w:t>
      </w:r>
    </w:p>
    <w:p w:rsidR="00E6125D" w:rsidRPr="00E6125D" w:rsidRDefault="00E6125D" w:rsidP="00E6125D">
      <w:pPr>
        <w:numPr>
          <w:ilvl w:val="0"/>
          <w:numId w:val="11"/>
        </w:numPr>
        <w:spacing w:before="100" w:beforeAutospacing="1" w:after="100" w:afterAutospacing="1" w:line="240" w:lineRule="auto"/>
        <w:ind w:left="0"/>
        <w:rPr>
          <w:rFonts w:ascii="Trebuchet MS" w:eastAsia="Times New Roman" w:hAnsi="Trebuchet MS"/>
          <w:color w:val="333333"/>
          <w:sz w:val="20"/>
          <w:szCs w:val="20"/>
          <w:lang w:eastAsia="fr-FR"/>
        </w:rPr>
      </w:pPr>
      <w:r w:rsidRPr="00E6125D">
        <w:rPr>
          <w:rFonts w:ascii="Trebuchet MS" w:eastAsia="Times New Roman" w:hAnsi="Trebuchet MS"/>
          <w:b/>
          <w:bCs/>
          <w:color w:val="333333"/>
          <w:sz w:val="20"/>
          <w:szCs w:val="20"/>
          <w:lang w:eastAsia="fr-FR"/>
        </w:rPr>
        <w:t>Visites de réception :</w:t>
      </w:r>
      <w:r w:rsidRPr="00E6125D">
        <w:rPr>
          <w:rFonts w:ascii="Trebuchet MS" w:eastAsia="Times New Roman" w:hAnsi="Trebuchet MS"/>
          <w:color w:val="333333"/>
          <w:sz w:val="20"/>
          <w:szCs w:val="20"/>
          <w:lang w:eastAsia="fr-FR"/>
        </w:rPr>
        <w:t> visite pour ouverture de l’établissement lors de la création ou suite à tous travaux réalisés en cours de l’exploitation (L. 111-8 du C.C.H.).</w:t>
      </w:r>
    </w:p>
    <w:p w:rsidR="00E6125D" w:rsidRPr="00E6125D" w:rsidRDefault="00E6125D" w:rsidP="00E6125D">
      <w:pPr>
        <w:numPr>
          <w:ilvl w:val="0"/>
          <w:numId w:val="11"/>
        </w:numPr>
        <w:spacing w:before="100" w:beforeAutospacing="1" w:after="100" w:afterAutospacing="1" w:line="240" w:lineRule="auto"/>
        <w:ind w:left="0"/>
        <w:rPr>
          <w:rFonts w:ascii="Trebuchet MS" w:eastAsia="Times New Roman" w:hAnsi="Trebuchet MS"/>
          <w:color w:val="333333"/>
          <w:sz w:val="20"/>
          <w:szCs w:val="20"/>
          <w:lang w:eastAsia="fr-FR"/>
        </w:rPr>
      </w:pPr>
      <w:r w:rsidRPr="00E6125D">
        <w:rPr>
          <w:rFonts w:ascii="Trebuchet MS" w:eastAsia="Times New Roman" w:hAnsi="Trebuchet MS"/>
          <w:b/>
          <w:bCs/>
          <w:color w:val="333333"/>
          <w:sz w:val="20"/>
          <w:szCs w:val="20"/>
          <w:lang w:eastAsia="fr-FR"/>
        </w:rPr>
        <w:t>Visites périodiques</w:t>
      </w:r>
      <w:r w:rsidRPr="00E6125D">
        <w:rPr>
          <w:rFonts w:ascii="Trebuchet MS" w:eastAsia="Times New Roman" w:hAnsi="Trebuchet MS"/>
          <w:color w:val="333333"/>
          <w:sz w:val="20"/>
          <w:szCs w:val="20"/>
          <w:lang w:eastAsia="fr-FR"/>
        </w:rPr>
        <w:t> selon une fréquence fixée de 3 ou 5 ans suivant le classement de celui-ci. La fréquence des contrôles peut être modifiée, si nécessaire, par arrêté du Maire ou du Préfet après avis de la commission de sécurité.</w:t>
      </w:r>
    </w:p>
    <w:p w:rsidR="00E6125D" w:rsidRPr="00E6125D" w:rsidRDefault="00E6125D" w:rsidP="00E6125D">
      <w:pPr>
        <w:numPr>
          <w:ilvl w:val="0"/>
          <w:numId w:val="11"/>
        </w:numPr>
        <w:spacing w:before="100" w:beforeAutospacing="1" w:after="100" w:afterAutospacing="1" w:line="240" w:lineRule="auto"/>
        <w:ind w:left="0"/>
        <w:rPr>
          <w:rFonts w:ascii="Trebuchet MS" w:eastAsia="Times New Roman" w:hAnsi="Trebuchet MS"/>
          <w:color w:val="333333"/>
          <w:sz w:val="20"/>
          <w:szCs w:val="20"/>
          <w:lang w:eastAsia="fr-FR"/>
        </w:rPr>
      </w:pPr>
      <w:r w:rsidRPr="00E6125D">
        <w:rPr>
          <w:rFonts w:ascii="Trebuchet MS" w:eastAsia="Times New Roman" w:hAnsi="Trebuchet MS"/>
          <w:b/>
          <w:bCs/>
          <w:color w:val="333333"/>
          <w:sz w:val="20"/>
          <w:szCs w:val="20"/>
          <w:lang w:eastAsia="fr-FR"/>
        </w:rPr>
        <w:t>Visites de contrôle :</w:t>
      </w:r>
      <w:r w:rsidRPr="00E6125D">
        <w:rPr>
          <w:rFonts w:ascii="Trebuchet MS" w:eastAsia="Times New Roman" w:hAnsi="Trebuchet MS"/>
          <w:color w:val="333333"/>
          <w:sz w:val="20"/>
          <w:szCs w:val="20"/>
          <w:lang w:eastAsia="fr-FR"/>
        </w:rPr>
        <w:t> elle fait suite à un avis défavorable à l’exploitation d’une commission de réception ou périodique. Elle est convoquée afin de prendre en compte les réponses de l’exploitant aux prescriptions émises.</w:t>
      </w:r>
    </w:p>
    <w:p w:rsidR="00E6125D" w:rsidRPr="00E6125D" w:rsidRDefault="00E6125D" w:rsidP="00E6125D">
      <w:pPr>
        <w:numPr>
          <w:ilvl w:val="0"/>
          <w:numId w:val="11"/>
        </w:numPr>
        <w:spacing w:before="100" w:beforeAutospacing="1" w:after="100" w:afterAutospacing="1" w:line="240" w:lineRule="auto"/>
        <w:ind w:left="0"/>
        <w:rPr>
          <w:rFonts w:ascii="Trebuchet MS" w:eastAsia="Times New Roman" w:hAnsi="Trebuchet MS"/>
          <w:color w:val="333333"/>
          <w:sz w:val="20"/>
          <w:szCs w:val="20"/>
          <w:lang w:eastAsia="fr-FR"/>
        </w:rPr>
      </w:pPr>
      <w:r w:rsidRPr="00E6125D">
        <w:rPr>
          <w:rFonts w:ascii="Trebuchet MS" w:eastAsia="Times New Roman" w:hAnsi="Trebuchet MS"/>
          <w:b/>
          <w:bCs/>
          <w:color w:val="333333"/>
          <w:sz w:val="20"/>
          <w:szCs w:val="20"/>
          <w:lang w:eastAsia="fr-FR"/>
        </w:rPr>
        <w:t>Visites inopinées :</w:t>
      </w:r>
      <w:r w:rsidRPr="00E6125D">
        <w:rPr>
          <w:rFonts w:ascii="Trebuchet MS" w:eastAsia="Times New Roman" w:hAnsi="Trebuchet MS"/>
          <w:color w:val="333333"/>
          <w:sz w:val="20"/>
          <w:szCs w:val="20"/>
          <w:lang w:eastAsia="fr-FR"/>
        </w:rPr>
        <w:t> Le Maire ou le Préfet peuvent demander le passage de la commission de sécurité compétente sans au préalable convoquer le responsable.</w:t>
      </w:r>
    </w:p>
    <w:p w:rsidR="00E6125D" w:rsidRPr="00E6125D" w:rsidRDefault="00E6125D" w:rsidP="00E6125D">
      <w:pPr>
        <w:spacing w:after="100" w:afterAutospacing="1" w:line="240" w:lineRule="auto"/>
        <w:outlineLvl w:val="0"/>
        <w:rPr>
          <w:rFonts w:ascii="futurastd bold" w:eastAsia="Times New Roman" w:hAnsi="futurastd bold"/>
          <w:color w:val="333333"/>
          <w:kern w:val="36"/>
          <w:sz w:val="36"/>
          <w:szCs w:val="36"/>
          <w:lang w:eastAsia="fr-FR"/>
        </w:rPr>
      </w:pPr>
      <w:r w:rsidRPr="00E6125D">
        <w:rPr>
          <w:rFonts w:ascii="futurastd bold" w:eastAsia="Times New Roman" w:hAnsi="futurastd bold"/>
          <w:color w:val="333333"/>
          <w:kern w:val="36"/>
          <w:sz w:val="36"/>
          <w:szCs w:val="36"/>
          <w:lang w:eastAsia="fr-FR"/>
        </w:rPr>
        <w:t>MANIFESTATIONS</w:t>
      </w:r>
    </w:p>
    <w:p w:rsidR="00E6125D" w:rsidRPr="00E6125D" w:rsidRDefault="00E6125D" w:rsidP="00E6125D">
      <w:pPr>
        <w:spacing w:before="100" w:beforeAutospacing="1" w:after="100" w:afterAutospacing="1" w:line="240" w:lineRule="auto"/>
        <w:rPr>
          <w:rFonts w:ascii="Trebuchet MS" w:eastAsia="Times New Roman" w:hAnsi="Trebuchet MS"/>
          <w:color w:val="333333"/>
          <w:sz w:val="20"/>
          <w:szCs w:val="20"/>
          <w:lang w:eastAsia="fr-FR"/>
        </w:rPr>
      </w:pPr>
      <w:r w:rsidRPr="00E6125D">
        <w:rPr>
          <w:rFonts w:ascii="Trebuchet MS" w:eastAsia="Times New Roman" w:hAnsi="Trebuchet MS"/>
          <w:b/>
          <w:bCs/>
          <w:color w:val="333333"/>
          <w:sz w:val="20"/>
          <w:szCs w:val="20"/>
          <w:lang w:eastAsia="fr-FR"/>
        </w:rPr>
        <w:t>Un E.R.P est classé pour une ou plusieurs activités</w:t>
      </w:r>
      <w:r w:rsidRPr="00E6125D">
        <w:rPr>
          <w:rFonts w:ascii="Trebuchet MS" w:eastAsia="Times New Roman" w:hAnsi="Trebuchet MS"/>
          <w:color w:val="333333"/>
          <w:sz w:val="20"/>
          <w:szCs w:val="20"/>
          <w:lang w:eastAsia="fr-FR"/>
        </w:rPr>
        <w:t> (magasin, hôtel, hôtel restaurant, salle d’exposition…). Dans son fonctionnement, il peut arriver de manière exceptionnelle d’organiser au sein de l’E.R.P une activité ou une configuration autre que celle validée, et ce, pour une durée déterminée. Le règlement le permet dans son article GN6 après autorisation au préalable.</w:t>
      </w:r>
    </w:p>
    <w:p w:rsidR="00E6125D" w:rsidRPr="00E6125D" w:rsidRDefault="00E6125D" w:rsidP="00E6125D">
      <w:pPr>
        <w:spacing w:before="100" w:beforeAutospacing="1" w:after="100" w:afterAutospacing="1" w:line="240" w:lineRule="auto"/>
        <w:rPr>
          <w:rFonts w:ascii="Trebuchet MS" w:eastAsia="Times New Roman" w:hAnsi="Trebuchet MS"/>
          <w:color w:val="333333"/>
          <w:sz w:val="20"/>
          <w:szCs w:val="20"/>
          <w:lang w:eastAsia="fr-FR"/>
        </w:rPr>
      </w:pPr>
      <w:r w:rsidRPr="00E6125D">
        <w:rPr>
          <w:rFonts w:ascii="Trebuchet MS" w:eastAsia="Times New Roman" w:hAnsi="Trebuchet MS"/>
          <w:b/>
          <w:bCs/>
          <w:color w:val="333333"/>
          <w:sz w:val="20"/>
          <w:szCs w:val="20"/>
          <w:lang w:eastAsia="fr-FR"/>
        </w:rPr>
        <w:t>Types de demandes suivant le lieu de la manifestation :</w:t>
      </w:r>
      <w:r w:rsidRPr="00E6125D">
        <w:rPr>
          <w:rFonts w:ascii="Trebuchet MS" w:eastAsia="Times New Roman" w:hAnsi="Trebuchet MS"/>
          <w:color w:val="333333"/>
          <w:sz w:val="20"/>
          <w:szCs w:val="20"/>
          <w:lang w:eastAsia="fr-FR"/>
        </w:rPr>
        <w:t> </w:t>
      </w:r>
    </w:p>
    <w:p w:rsidR="00E6125D" w:rsidRPr="00E6125D" w:rsidRDefault="00E6125D" w:rsidP="00E6125D">
      <w:pPr>
        <w:numPr>
          <w:ilvl w:val="0"/>
          <w:numId w:val="12"/>
        </w:numPr>
        <w:spacing w:before="100" w:beforeAutospacing="1" w:after="100" w:afterAutospacing="1" w:line="240" w:lineRule="auto"/>
        <w:ind w:left="0"/>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Dossier d’utilisation exceptionnelle des locaux (GN6), si activités et/ou configurations différentes que celle(s) autorisée(s).</w:t>
      </w:r>
    </w:p>
    <w:p w:rsidR="00E6125D" w:rsidRPr="00E6125D" w:rsidRDefault="00E6125D" w:rsidP="00E6125D">
      <w:pPr>
        <w:numPr>
          <w:ilvl w:val="0"/>
          <w:numId w:val="12"/>
        </w:numPr>
        <w:spacing w:before="100" w:beforeAutospacing="1" w:after="100" w:afterAutospacing="1" w:line="240" w:lineRule="auto"/>
        <w:ind w:left="0"/>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Manifestation de type T (exposition) : un dossier doit être réalisé par l’organisateur et son/ses chargé(s) de sécurité. </w:t>
      </w:r>
    </w:p>
    <w:p w:rsidR="00E6125D" w:rsidRPr="00E6125D" w:rsidRDefault="00E6125D" w:rsidP="00E6125D">
      <w:pPr>
        <w:spacing w:before="100" w:beforeAutospacing="1" w:after="100" w:afterAutospacing="1" w:line="240" w:lineRule="auto"/>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Ces dossiers doivent être déposés en Mairie au Service Sécurité des Bâtiments et Manifestations.  </w:t>
      </w:r>
    </w:p>
    <w:p w:rsidR="00E6125D" w:rsidRPr="00E6125D" w:rsidRDefault="00E6125D" w:rsidP="00E6125D">
      <w:pPr>
        <w:spacing w:before="100" w:beforeAutospacing="1" w:after="100" w:afterAutospacing="1" w:line="240" w:lineRule="auto"/>
        <w:rPr>
          <w:rFonts w:ascii="Trebuchet MS" w:eastAsia="Times New Roman" w:hAnsi="Trebuchet MS"/>
          <w:color w:val="333333"/>
          <w:sz w:val="20"/>
          <w:szCs w:val="20"/>
          <w:lang w:eastAsia="fr-FR"/>
        </w:rPr>
      </w:pPr>
      <w:r w:rsidRPr="00E6125D">
        <w:rPr>
          <w:rFonts w:ascii="Trebuchet MS" w:eastAsia="Times New Roman" w:hAnsi="Trebuchet MS"/>
          <w:b/>
          <w:bCs/>
          <w:color w:val="333333"/>
          <w:sz w:val="20"/>
          <w:szCs w:val="20"/>
          <w:lang w:eastAsia="fr-FR"/>
        </w:rPr>
        <w:t>GN6 :</w:t>
      </w:r>
      <w:r w:rsidRPr="00E6125D">
        <w:rPr>
          <w:rFonts w:ascii="Trebuchet MS" w:eastAsia="Times New Roman" w:hAnsi="Trebuchet MS"/>
          <w:color w:val="333333"/>
          <w:sz w:val="20"/>
          <w:szCs w:val="20"/>
          <w:lang w:eastAsia="fr-FR"/>
        </w:rPr>
        <w:t> </w:t>
      </w:r>
    </w:p>
    <w:p w:rsidR="00E6125D" w:rsidRPr="00E6125D" w:rsidRDefault="00E6125D" w:rsidP="00E6125D">
      <w:pPr>
        <w:numPr>
          <w:ilvl w:val="0"/>
          <w:numId w:val="13"/>
        </w:numPr>
        <w:spacing w:before="100" w:beforeAutospacing="1" w:after="100" w:afterAutospacing="1" w:line="240" w:lineRule="auto"/>
        <w:ind w:left="0"/>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15 jours avant pour le dossier GN6.</w:t>
      </w:r>
    </w:p>
    <w:p w:rsidR="00E6125D" w:rsidRPr="00E6125D" w:rsidRDefault="00E6125D" w:rsidP="00E6125D">
      <w:pPr>
        <w:spacing w:before="100" w:beforeAutospacing="1" w:after="100" w:afterAutospacing="1" w:line="240" w:lineRule="auto"/>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Un courrier/réponse vous sera envoyé, vous autorisant ou non à réaliser la manifestation.</w:t>
      </w:r>
    </w:p>
    <w:p w:rsidR="00E6125D" w:rsidRPr="00E6125D" w:rsidRDefault="00E6125D" w:rsidP="00E6125D">
      <w:pPr>
        <w:spacing w:before="100" w:beforeAutospacing="1" w:after="100" w:afterAutospacing="1" w:line="240" w:lineRule="auto"/>
        <w:rPr>
          <w:rFonts w:ascii="Trebuchet MS" w:eastAsia="Times New Roman" w:hAnsi="Trebuchet MS"/>
          <w:color w:val="333333"/>
          <w:sz w:val="20"/>
          <w:szCs w:val="20"/>
          <w:lang w:eastAsia="fr-FR"/>
        </w:rPr>
      </w:pPr>
      <w:r w:rsidRPr="00E6125D">
        <w:rPr>
          <w:rFonts w:ascii="Trebuchet MS" w:eastAsia="Times New Roman" w:hAnsi="Trebuchet MS"/>
          <w:b/>
          <w:bCs/>
          <w:color w:val="333333"/>
          <w:sz w:val="20"/>
          <w:szCs w:val="20"/>
          <w:lang w:eastAsia="fr-FR"/>
        </w:rPr>
        <w:t>Type T :</w:t>
      </w:r>
      <w:r w:rsidRPr="00E6125D">
        <w:rPr>
          <w:rFonts w:ascii="Trebuchet MS" w:eastAsia="Times New Roman" w:hAnsi="Trebuchet MS"/>
          <w:color w:val="333333"/>
          <w:sz w:val="20"/>
          <w:szCs w:val="20"/>
          <w:lang w:eastAsia="fr-FR"/>
        </w:rPr>
        <w:t> </w:t>
      </w:r>
    </w:p>
    <w:p w:rsidR="00E6125D" w:rsidRPr="00E6125D" w:rsidRDefault="00E6125D" w:rsidP="00E6125D">
      <w:pPr>
        <w:numPr>
          <w:ilvl w:val="0"/>
          <w:numId w:val="14"/>
        </w:numPr>
        <w:spacing w:before="100" w:beforeAutospacing="1" w:after="100" w:afterAutospacing="1" w:line="240" w:lineRule="auto"/>
        <w:ind w:left="0"/>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2 mois avant la date présumée du début de la manifestation (type T et manifestations autres lieux).</w:t>
      </w:r>
      <w:r w:rsidRPr="00E6125D">
        <w:rPr>
          <w:rFonts w:ascii="Trebuchet MS" w:eastAsia="Times New Roman" w:hAnsi="Trebuchet MS"/>
          <w:color w:val="333333"/>
          <w:sz w:val="20"/>
          <w:szCs w:val="20"/>
          <w:lang w:eastAsia="fr-FR"/>
        </w:rPr>
        <w:br/>
        <w:t>Un arrêté d'autorisation ou de refus de manifestation vous sera envoyé en Accusé de Réception.</w:t>
      </w:r>
    </w:p>
    <w:p w:rsidR="00E6125D" w:rsidRPr="00E6125D" w:rsidRDefault="00E6125D" w:rsidP="00E6125D">
      <w:pPr>
        <w:numPr>
          <w:ilvl w:val="0"/>
          <w:numId w:val="15"/>
        </w:numPr>
        <w:spacing w:before="100" w:beforeAutospacing="1" w:after="100" w:afterAutospacing="1" w:line="240" w:lineRule="auto"/>
        <w:ind w:left="0"/>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Arrêté d’autorisation : vous pouvez organiser votre manifestation en prenant en compte les prescriptions éventuelles prescrites.</w:t>
      </w:r>
    </w:p>
    <w:p w:rsidR="00E6125D" w:rsidRPr="00E6125D" w:rsidRDefault="00E6125D" w:rsidP="00E6125D">
      <w:pPr>
        <w:numPr>
          <w:ilvl w:val="0"/>
          <w:numId w:val="15"/>
        </w:numPr>
        <w:spacing w:before="100" w:beforeAutospacing="1" w:after="100" w:afterAutospacing="1" w:line="240" w:lineRule="auto"/>
        <w:ind w:left="0"/>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Arrêté de refus : vous n’êtes pas autorisé à organiser votre manifestation. </w:t>
      </w:r>
    </w:p>
    <w:p w:rsidR="00E6125D" w:rsidRPr="00E6125D" w:rsidRDefault="00E6125D" w:rsidP="00E6125D">
      <w:pPr>
        <w:spacing w:before="100" w:beforeAutospacing="1" w:after="100" w:afterAutospacing="1" w:line="240" w:lineRule="auto"/>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 </w:t>
      </w:r>
    </w:p>
    <w:p w:rsidR="00E6125D" w:rsidRPr="00E6125D" w:rsidRDefault="00E6125D" w:rsidP="00E6125D">
      <w:pPr>
        <w:spacing w:before="100" w:beforeAutospacing="1" w:after="100" w:afterAutospacing="1" w:line="240" w:lineRule="auto"/>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t>Démarches à réaliser avant l’ouverture au public : demander la visite de réception par les commissions de sécurité et accessibilité compétentes, cette démarche n’est pas soumise à toutes les manifestations (obligation reprise dans l’arrêté ou courrier en retour). </w:t>
      </w:r>
    </w:p>
    <w:p w:rsidR="00E6125D" w:rsidRPr="00E6125D" w:rsidRDefault="00E6125D" w:rsidP="00E6125D">
      <w:pPr>
        <w:spacing w:before="100" w:beforeAutospacing="1" w:after="100" w:afterAutospacing="1" w:line="240" w:lineRule="auto"/>
        <w:rPr>
          <w:rFonts w:ascii="Trebuchet MS" w:eastAsia="Times New Roman" w:hAnsi="Trebuchet MS"/>
          <w:color w:val="333333"/>
          <w:sz w:val="20"/>
          <w:szCs w:val="20"/>
          <w:lang w:eastAsia="fr-FR"/>
        </w:rPr>
      </w:pPr>
      <w:r w:rsidRPr="00E6125D">
        <w:rPr>
          <w:rFonts w:ascii="Trebuchet MS" w:eastAsia="Times New Roman" w:hAnsi="Trebuchet MS"/>
          <w:color w:val="333333"/>
          <w:sz w:val="20"/>
          <w:szCs w:val="20"/>
          <w:lang w:eastAsia="fr-FR"/>
        </w:rPr>
        <w:lastRenderedPageBreak/>
        <w:t>Pour toutes autres demandes de manifestations (occupation du domaine public, demande de licence alcool, diffusion de musique amplifiée).</w:t>
      </w:r>
    </w:p>
    <w:p w:rsidR="000E2E5A" w:rsidRDefault="000E2E5A">
      <w:bookmarkStart w:id="0" w:name="_GoBack"/>
      <w:bookmarkEnd w:id="0"/>
    </w:p>
    <w:sectPr w:rsidR="000E2E5A" w:rsidSect="009E63C1">
      <w:pgSz w:w="11906" w:h="16838"/>
      <w:pgMar w:top="837" w:right="1417" w:bottom="1134" w:left="1417" w:header="284" w:footer="34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futurastd bold">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A43BA"/>
    <w:multiLevelType w:val="multilevel"/>
    <w:tmpl w:val="17489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0D7AA7"/>
    <w:multiLevelType w:val="multilevel"/>
    <w:tmpl w:val="6090F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4C031B7"/>
    <w:multiLevelType w:val="multilevel"/>
    <w:tmpl w:val="E0FEF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3B2220"/>
    <w:multiLevelType w:val="multilevel"/>
    <w:tmpl w:val="A462C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AEE43EF"/>
    <w:multiLevelType w:val="multilevel"/>
    <w:tmpl w:val="D130A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0FF1E43"/>
    <w:multiLevelType w:val="multilevel"/>
    <w:tmpl w:val="5B289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A6B077D"/>
    <w:multiLevelType w:val="multilevel"/>
    <w:tmpl w:val="EFB6A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6163B7"/>
    <w:multiLevelType w:val="multilevel"/>
    <w:tmpl w:val="6FD4B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C251BDD"/>
    <w:multiLevelType w:val="multilevel"/>
    <w:tmpl w:val="28803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A530C07"/>
    <w:multiLevelType w:val="multilevel"/>
    <w:tmpl w:val="30604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FA0737D"/>
    <w:multiLevelType w:val="multilevel"/>
    <w:tmpl w:val="9EEA0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2112263"/>
    <w:multiLevelType w:val="multilevel"/>
    <w:tmpl w:val="BE682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5B2500B"/>
    <w:multiLevelType w:val="multilevel"/>
    <w:tmpl w:val="FE64D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F9D5233"/>
    <w:multiLevelType w:val="multilevel"/>
    <w:tmpl w:val="85360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7F97082"/>
    <w:multiLevelType w:val="multilevel"/>
    <w:tmpl w:val="E0248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2"/>
  </w:num>
  <w:num w:numId="3">
    <w:abstractNumId w:val="1"/>
  </w:num>
  <w:num w:numId="4">
    <w:abstractNumId w:val="3"/>
  </w:num>
  <w:num w:numId="5">
    <w:abstractNumId w:val="4"/>
  </w:num>
  <w:num w:numId="6">
    <w:abstractNumId w:val="14"/>
  </w:num>
  <w:num w:numId="7">
    <w:abstractNumId w:val="10"/>
  </w:num>
  <w:num w:numId="8">
    <w:abstractNumId w:val="6"/>
  </w:num>
  <w:num w:numId="9">
    <w:abstractNumId w:val="8"/>
  </w:num>
  <w:num w:numId="10">
    <w:abstractNumId w:val="11"/>
  </w:num>
  <w:num w:numId="11">
    <w:abstractNumId w:val="9"/>
  </w:num>
  <w:num w:numId="12">
    <w:abstractNumId w:val="12"/>
  </w:num>
  <w:num w:numId="13">
    <w:abstractNumId w:val="13"/>
  </w:num>
  <w:num w:numId="14">
    <w:abstractNumId w:val="5"/>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6023"/>
    <w:rsid w:val="000E2E5A"/>
    <w:rsid w:val="003F6023"/>
    <w:rsid w:val="009E63C1"/>
    <w:rsid w:val="00E6125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link w:val="Titre1Car"/>
    <w:uiPriority w:val="9"/>
    <w:qFormat/>
    <w:rsid w:val="00E6125D"/>
    <w:pPr>
      <w:spacing w:before="100" w:beforeAutospacing="1" w:after="100" w:afterAutospacing="1" w:line="240" w:lineRule="auto"/>
      <w:outlineLvl w:val="0"/>
    </w:pPr>
    <w:rPr>
      <w:rFonts w:eastAsia="Times New Roman"/>
      <w:b/>
      <w:bCs/>
      <w:kern w:val="36"/>
      <w:sz w:val="48"/>
      <w:szCs w:val="48"/>
      <w:lang w:eastAsia="fr-FR"/>
    </w:rPr>
  </w:style>
  <w:style w:type="paragraph" w:styleId="Titre3">
    <w:name w:val="heading 3"/>
    <w:basedOn w:val="Normal"/>
    <w:link w:val="Titre3Car"/>
    <w:uiPriority w:val="9"/>
    <w:qFormat/>
    <w:rsid w:val="00E6125D"/>
    <w:pPr>
      <w:spacing w:before="100" w:beforeAutospacing="1" w:after="100" w:afterAutospacing="1" w:line="240" w:lineRule="auto"/>
      <w:outlineLvl w:val="2"/>
    </w:pPr>
    <w:rPr>
      <w:rFonts w:eastAsia="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6125D"/>
    <w:rPr>
      <w:rFonts w:eastAsia="Times New Roman"/>
      <w:b/>
      <w:bCs/>
      <w:kern w:val="36"/>
      <w:sz w:val="48"/>
      <w:szCs w:val="48"/>
      <w:lang w:eastAsia="fr-FR"/>
    </w:rPr>
  </w:style>
  <w:style w:type="character" w:customStyle="1" w:styleId="Titre3Car">
    <w:name w:val="Titre 3 Car"/>
    <w:basedOn w:val="Policepardfaut"/>
    <w:link w:val="Titre3"/>
    <w:uiPriority w:val="9"/>
    <w:rsid w:val="00E6125D"/>
    <w:rPr>
      <w:rFonts w:eastAsia="Times New Roman"/>
      <w:b/>
      <w:bCs/>
      <w:sz w:val="27"/>
      <w:szCs w:val="27"/>
      <w:lang w:eastAsia="fr-FR"/>
    </w:rPr>
  </w:style>
  <w:style w:type="paragraph" w:customStyle="1" w:styleId="bodytext">
    <w:name w:val="bodytext"/>
    <w:basedOn w:val="Normal"/>
    <w:rsid w:val="00E6125D"/>
    <w:pPr>
      <w:spacing w:before="100" w:beforeAutospacing="1" w:after="100" w:afterAutospacing="1" w:line="240" w:lineRule="auto"/>
    </w:pPr>
    <w:rPr>
      <w:rFonts w:eastAsia="Times New Roman"/>
      <w:lang w:eastAsia="fr-FR"/>
    </w:rPr>
  </w:style>
  <w:style w:type="character" w:styleId="Lienhypertexte">
    <w:name w:val="Hyperlink"/>
    <w:basedOn w:val="Policepardfaut"/>
    <w:uiPriority w:val="99"/>
    <w:semiHidden/>
    <w:unhideWhenUsed/>
    <w:rsid w:val="00E6125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link w:val="Titre1Car"/>
    <w:uiPriority w:val="9"/>
    <w:qFormat/>
    <w:rsid w:val="00E6125D"/>
    <w:pPr>
      <w:spacing w:before="100" w:beforeAutospacing="1" w:after="100" w:afterAutospacing="1" w:line="240" w:lineRule="auto"/>
      <w:outlineLvl w:val="0"/>
    </w:pPr>
    <w:rPr>
      <w:rFonts w:eastAsia="Times New Roman"/>
      <w:b/>
      <w:bCs/>
      <w:kern w:val="36"/>
      <w:sz w:val="48"/>
      <w:szCs w:val="48"/>
      <w:lang w:eastAsia="fr-FR"/>
    </w:rPr>
  </w:style>
  <w:style w:type="paragraph" w:styleId="Titre3">
    <w:name w:val="heading 3"/>
    <w:basedOn w:val="Normal"/>
    <w:link w:val="Titre3Car"/>
    <w:uiPriority w:val="9"/>
    <w:qFormat/>
    <w:rsid w:val="00E6125D"/>
    <w:pPr>
      <w:spacing w:before="100" w:beforeAutospacing="1" w:after="100" w:afterAutospacing="1" w:line="240" w:lineRule="auto"/>
      <w:outlineLvl w:val="2"/>
    </w:pPr>
    <w:rPr>
      <w:rFonts w:eastAsia="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6125D"/>
    <w:rPr>
      <w:rFonts w:eastAsia="Times New Roman"/>
      <w:b/>
      <w:bCs/>
      <w:kern w:val="36"/>
      <w:sz w:val="48"/>
      <w:szCs w:val="48"/>
      <w:lang w:eastAsia="fr-FR"/>
    </w:rPr>
  </w:style>
  <w:style w:type="character" w:customStyle="1" w:styleId="Titre3Car">
    <w:name w:val="Titre 3 Car"/>
    <w:basedOn w:val="Policepardfaut"/>
    <w:link w:val="Titre3"/>
    <w:uiPriority w:val="9"/>
    <w:rsid w:val="00E6125D"/>
    <w:rPr>
      <w:rFonts w:eastAsia="Times New Roman"/>
      <w:b/>
      <w:bCs/>
      <w:sz w:val="27"/>
      <w:szCs w:val="27"/>
      <w:lang w:eastAsia="fr-FR"/>
    </w:rPr>
  </w:style>
  <w:style w:type="paragraph" w:customStyle="1" w:styleId="bodytext">
    <w:name w:val="bodytext"/>
    <w:basedOn w:val="Normal"/>
    <w:rsid w:val="00E6125D"/>
    <w:pPr>
      <w:spacing w:before="100" w:beforeAutospacing="1" w:after="100" w:afterAutospacing="1" w:line="240" w:lineRule="auto"/>
    </w:pPr>
    <w:rPr>
      <w:rFonts w:eastAsia="Times New Roman"/>
      <w:lang w:eastAsia="fr-FR"/>
    </w:rPr>
  </w:style>
  <w:style w:type="character" w:styleId="Lienhypertexte">
    <w:name w:val="Hyperlink"/>
    <w:basedOn w:val="Policepardfaut"/>
    <w:uiPriority w:val="99"/>
    <w:semiHidden/>
    <w:unhideWhenUsed/>
    <w:rsid w:val="00E6125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6022956">
      <w:bodyDiv w:val="1"/>
      <w:marLeft w:val="0"/>
      <w:marRight w:val="0"/>
      <w:marTop w:val="0"/>
      <w:marBottom w:val="0"/>
      <w:divBdr>
        <w:top w:val="none" w:sz="0" w:space="0" w:color="auto"/>
        <w:left w:val="none" w:sz="0" w:space="0" w:color="auto"/>
        <w:bottom w:val="none" w:sz="0" w:space="0" w:color="auto"/>
        <w:right w:val="none" w:sz="0" w:space="0" w:color="auto"/>
      </w:divBdr>
      <w:divsChild>
        <w:div w:id="1407725245">
          <w:marLeft w:val="0"/>
          <w:marRight w:val="0"/>
          <w:marTop w:val="0"/>
          <w:marBottom w:val="0"/>
          <w:divBdr>
            <w:top w:val="none" w:sz="0" w:space="0" w:color="auto"/>
            <w:left w:val="none" w:sz="0" w:space="0" w:color="auto"/>
            <w:bottom w:val="none" w:sz="0" w:space="0" w:color="auto"/>
            <w:right w:val="none" w:sz="0" w:space="0" w:color="auto"/>
          </w:divBdr>
        </w:div>
        <w:div w:id="1808351270">
          <w:marLeft w:val="0"/>
          <w:marRight w:val="0"/>
          <w:marTop w:val="0"/>
          <w:marBottom w:val="0"/>
          <w:divBdr>
            <w:top w:val="none" w:sz="0" w:space="0" w:color="auto"/>
            <w:left w:val="none" w:sz="0" w:space="0" w:color="auto"/>
            <w:bottom w:val="none" w:sz="0" w:space="0" w:color="auto"/>
            <w:right w:val="none" w:sz="0" w:space="0" w:color="auto"/>
          </w:divBdr>
          <w:divsChild>
            <w:div w:id="691884297">
              <w:marLeft w:val="0"/>
              <w:marRight w:val="0"/>
              <w:marTop w:val="0"/>
              <w:marBottom w:val="0"/>
              <w:divBdr>
                <w:top w:val="none" w:sz="0" w:space="0" w:color="auto"/>
                <w:left w:val="none" w:sz="0" w:space="0" w:color="auto"/>
                <w:bottom w:val="none" w:sz="0" w:space="0" w:color="auto"/>
                <w:right w:val="none" w:sz="0" w:space="0" w:color="auto"/>
              </w:divBdr>
            </w:div>
            <w:div w:id="1914464645">
              <w:marLeft w:val="0"/>
              <w:marRight w:val="0"/>
              <w:marTop w:val="0"/>
              <w:marBottom w:val="0"/>
              <w:divBdr>
                <w:top w:val="none" w:sz="0" w:space="0" w:color="auto"/>
                <w:left w:val="none" w:sz="0" w:space="0" w:color="auto"/>
                <w:bottom w:val="none" w:sz="0" w:space="0" w:color="auto"/>
                <w:right w:val="none" w:sz="0" w:space="0" w:color="auto"/>
              </w:divBdr>
            </w:div>
            <w:div w:id="1385568411">
              <w:marLeft w:val="0"/>
              <w:marRight w:val="0"/>
              <w:marTop w:val="0"/>
              <w:marBottom w:val="0"/>
              <w:divBdr>
                <w:top w:val="none" w:sz="0" w:space="0" w:color="auto"/>
                <w:left w:val="none" w:sz="0" w:space="0" w:color="auto"/>
                <w:bottom w:val="none" w:sz="0" w:space="0" w:color="auto"/>
                <w:right w:val="none" w:sz="0" w:space="0" w:color="auto"/>
              </w:divBdr>
            </w:div>
            <w:div w:id="175048418">
              <w:marLeft w:val="0"/>
              <w:marRight w:val="0"/>
              <w:marTop w:val="0"/>
              <w:marBottom w:val="0"/>
              <w:divBdr>
                <w:top w:val="none" w:sz="0" w:space="0" w:color="auto"/>
                <w:left w:val="none" w:sz="0" w:space="0" w:color="auto"/>
                <w:bottom w:val="none" w:sz="0" w:space="0" w:color="auto"/>
                <w:right w:val="none" w:sz="0" w:space="0" w:color="auto"/>
              </w:divBdr>
            </w:div>
            <w:div w:id="242373926">
              <w:marLeft w:val="0"/>
              <w:marRight w:val="0"/>
              <w:marTop w:val="0"/>
              <w:marBottom w:val="0"/>
              <w:divBdr>
                <w:top w:val="none" w:sz="0" w:space="0" w:color="auto"/>
                <w:left w:val="none" w:sz="0" w:space="0" w:color="auto"/>
                <w:bottom w:val="none" w:sz="0" w:space="0" w:color="auto"/>
                <w:right w:val="none" w:sz="0" w:space="0" w:color="auto"/>
              </w:divBdr>
            </w:div>
            <w:div w:id="219905093">
              <w:marLeft w:val="0"/>
              <w:marRight w:val="0"/>
              <w:marTop w:val="0"/>
              <w:marBottom w:val="0"/>
              <w:divBdr>
                <w:top w:val="none" w:sz="0" w:space="0" w:color="auto"/>
                <w:left w:val="none" w:sz="0" w:space="0" w:color="auto"/>
                <w:bottom w:val="none" w:sz="0" w:space="0" w:color="auto"/>
                <w:right w:val="none" w:sz="0" w:space="0" w:color="auto"/>
              </w:divBdr>
            </w:div>
            <w:div w:id="43991205">
              <w:marLeft w:val="0"/>
              <w:marRight w:val="0"/>
              <w:marTop w:val="0"/>
              <w:marBottom w:val="0"/>
              <w:divBdr>
                <w:top w:val="none" w:sz="0" w:space="0" w:color="auto"/>
                <w:left w:val="none" w:sz="0" w:space="0" w:color="auto"/>
                <w:bottom w:val="none" w:sz="0" w:space="0" w:color="auto"/>
                <w:right w:val="none" w:sz="0" w:space="0" w:color="auto"/>
              </w:divBdr>
            </w:div>
            <w:div w:id="331833994">
              <w:marLeft w:val="0"/>
              <w:marRight w:val="0"/>
              <w:marTop w:val="0"/>
              <w:marBottom w:val="0"/>
              <w:divBdr>
                <w:top w:val="none" w:sz="0" w:space="0" w:color="auto"/>
                <w:left w:val="none" w:sz="0" w:space="0" w:color="auto"/>
                <w:bottom w:val="none" w:sz="0" w:space="0" w:color="auto"/>
                <w:right w:val="none" w:sz="0" w:space="0" w:color="auto"/>
              </w:divBdr>
            </w:div>
            <w:div w:id="1968706828">
              <w:marLeft w:val="0"/>
              <w:marRight w:val="0"/>
              <w:marTop w:val="0"/>
              <w:marBottom w:val="0"/>
              <w:divBdr>
                <w:top w:val="none" w:sz="0" w:space="0" w:color="auto"/>
                <w:left w:val="none" w:sz="0" w:space="0" w:color="auto"/>
                <w:bottom w:val="none" w:sz="0" w:space="0" w:color="auto"/>
                <w:right w:val="none" w:sz="0" w:space="0" w:color="auto"/>
              </w:divBdr>
            </w:div>
            <w:div w:id="2079403340">
              <w:marLeft w:val="0"/>
              <w:marRight w:val="0"/>
              <w:marTop w:val="0"/>
              <w:marBottom w:val="0"/>
              <w:divBdr>
                <w:top w:val="none" w:sz="0" w:space="0" w:color="auto"/>
                <w:left w:val="none" w:sz="0" w:space="0" w:color="auto"/>
                <w:bottom w:val="none" w:sz="0" w:space="0" w:color="auto"/>
                <w:right w:val="none" w:sz="0" w:space="0" w:color="auto"/>
              </w:divBdr>
            </w:div>
            <w:div w:id="118196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729625">
      <w:bodyDiv w:val="1"/>
      <w:marLeft w:val="0"/>
      <w:marRight w:val="0"/>
      <w:marTop w:val="0"/>
      <w:marBottom w:val="0"/>
      <w:divBdr>
        <w:top w:val="none" w:sz="0" w:space="0" w:color="auto"/>
        <w:left w:val="none" w:sz="0" w:space="0" w:color="auto"/>
        <w:bottom w:val="none" w:sz="0" w:space="0" w:color="auto"/>
        <w:right w:val="none" w:sz="0" w:space="0" w:color="auto"/>
      </w:divBdr>
      <w:divsChild>
        <w:div w:id="2105032095">
          <w:marLeft w:val="0"/>
          <w:marRight w:val="0"/>
          <w:marTop w:val="0"/>
          <w:marBottom w:val="0"/>
          <w:divBdr>
            <w:top w:val="none" w:sz="0" w:space="0" w:color="auto"/>
            <w:left w:val="none" w:sz="0" w:space="0" w:color="auto"/>
            <w:bottom w:val="none" w:sz="0" w:space="0" w:color="auto"/>
            <w:right w:val="none" w:sz="0" w:space="0" w:color="auto"/>
          </w:divBdr>
          <w:divsChild>
            <w:div w:id="283771382">
              <w:marLeft w:val="0"/>
              <w:marRight w:val="0"/>
              <w:marTop w:val="0"/>
              <w:marBottom w:val="0"/>
              <w:divBdr>
                <w:top w:val="none" w:sz="0" w:space="0" w:color="auto"/>
                <w:left w:val="none" w:sz="0" w:space="0" w:color="auto"/>
                <w:bottom w:val="none" w:sz="0" w:space="0" w:color="auto"/>
                <w:right w:val="none" w:sz="0" w:space="0" w:color="auto"/>
              </w:divBdr>
              <w:divsChild>
                <w:div w:id="1881670840">
                  <w:marLeft w:val="0"/>
                  <w:marRight w:val="0"/>
                  <w:marTop w:val="0"/>
                  <w:marBottom w:val="0"/>
                  <w:divBdr>
                    <w:top w:val="none" w:sz="0" w:space="0" w:color="auto"/>
                    <w:left w:val="none" w:sz="0" w:space="0" w:color="auto"/>
                    <w:bottom w:val="none" w:sz="0" w:space="0" w:color="auto"/>
                    <w:right w:val="none" w:sz="0" w:space="0" w:color="auto"/>
                  </w:divBdr>
                </w:div>
                <w:div w:id="89619600">
                  <w:marLeft w:val="0"/>
                  <w:marRight w:val="0"/>
                  <w:marTop w:val="0"/>
                  <w:marBottom w:val="0"/>
                  <w:divBdr>
                    <w:top w:val="none" w:sz="0" w:space="0" w:color="auto"/>
                    <w:left w:val="none" w:sz="0" w:space="0" w:color="auto"/>
                    <w:bottom w:val="none" w:sz="0" w:space="0" w:color="auto"/>
                    <w:right w:val="none" w:sz="0" w:space="0" w:color="auto"/>
                  </w:divBdr>
                </w:div>
                <w:div w:id="1206913001">
                  <w:marLeft w:val="0"/>
                  <w:marRight w:val="0"/>
                  <w:marTop w:val="0"/>
                  <w:marBottom w:val="0"/>
                  <w:divBdr>
                    <w:top w:val="none" w:sz="0" w:space="0" w:color="auto"/>
                    <w:left w:val="none" w:sz="0" w:space="0" w:color="auto"/>
                    <w:bottom w:val="none" w:sz="0" w:space="0" w:color="auto"/>
                    <w:right w:val="none" w:sz="0" w:space="0" w:color="auto"/>
                  </w:divBdr>
                </w:div>
                <w:div w:id="2082897860">
                  <w:marLeft w:val="0"/>
                  <w:marRight w:val="0"/>
                  <w:marTop w:val="0"/>
                  <w:marBottom w:val="0"/>
                  <w:divBdr>
                    <w:top w:val="none" w:sz="0" w:space="0" w:color="auto"/>
                    <w:left w:val="none" w:sz="0" w:space="0" w:color="auto"/>
                    <w:bottom w:val="none" w:sz="0" w:space="0" w:color="auto"/>
                    <w:right w:val="none" w:sz="0" w:space="0" w:color="auto"/>
                  </w:divBdr>
                </w:div>
                <w:div w:id="135801010">
                  <w:marLeft w:val="0"/>
                  <w:marRight w:val="0"/>
                  <w:marTop w:val="0"/>
                  <w:marBottom w:val="0"/>
                  <w:divBdr>
                    <w:top w:val="none" w:sz="0" w:space="0" w:color="auto"/>
                    <w:left w:val="none" w:sz="0" w:space="0" w:color="auto"/>
                    <w:bottom w:val="none" w:sz="0" w:space="0" w:color="auto"/>
                    <w:right w:val="none" w:sz="0" w:space="0" w:color="auto"/>
                  </w:divBdr>
                </w:div>
                <w:div w:id="1320035461">
                  <w:marLeft w:val="0"/>
                  <w:marRight w:val="0"/>
                  <w:marTop w:val="0"/>
                  <w:marBottom w:val="0"/>
                  <w:divBdr>
                    <w:top w:val="none" w:sz="0" w:space="0" w:color="auto"/>
                    <w:left w:val="none" w:sz="0" w:space="0" w:color="auto"/>
                    <w:bottom w:val="none" w:sz="0" w:space="0" w:color="auto"/>
                    <w:right w:val="none" w:sz="0" w:space="0" w:color="auto"/>
                  </w:divBdr>
                </w:div>
              </w:divsChild>
            </w:div>
            <w:div w:id="423378141">
              <w:marLeft w:val="0"/>
              <w:marRight w:val="0"/>
              <w:marTop w:val="300"/>
              <w:marBottom w:val="0"/>
              <w:divBdr>
                <w:top w:val="none" w:sz="0" w:space="0" w:color="auto"/>
                <w:left w:val="none" w:sz="0" w:space="0" w:color="auto"/>
                <w:bottom w:val="none" w:sz="0" w:space="0" w:color="auto"/>
                <w:right w:val="none" w:sz="0" w:space="0" w:color="auto"/>
              </w:divBdr>
              <w:divsChild>
                <w:div w:id="1874539968">
                  <w:marLeft w:val="0"/>
                  <w:marRight w:val="0"/>
                  <w:marTop w:val="0"/>
                  <w:marBottom w:val="0"/>
                  <w:divBdr>
                    <w:top w:val="none" w:sz="0" w:space="0" w:color="auto"/>
                    <w:left w:val="none" w:sz="0" w:space="0" w:color="auto"/>
                    <w:bottom w:val="none" w:sz="0" w:space="0" w:color="auto"/>
                    <w:right w:val="none" w:sz="0" w:space="0" w:color="auto"/>
                  </w:divBdr>
                  <w:divsChild>
                    <w:div w:id="754595817">
                      <w:marLeft w:val="0"/>
                      <w:marRight w:val="0"/>
                      <w:marTop w:val="0"/>
                      <w:marBottom w:val="30"/>
                      <w:divBdr>
                        <w:top w:val="none" w:sz="0" w:space="10" w:color="auto"/>
                        <w:left w:val="single" w:sz="6" w:space="26" w:color="DDDDDD"/>
                        <w:bottom w:val="single" w:sz="6" w:space="10" w:color="DDDDDD"/>
                        <w:right w:val="single" w:sz="6" w:space="26" w:color="DDDDDD"/>
                      </w:divBdr>
                      <w:divsChild>
                        <w:div w:id="1237013112">
                          <w:marLeft w:val="0"/>
                          <w:marRight w:val="0"/>
                          <w:marTop w:val="0"/>
                          <w:marBottom w:val="0"/>
                          <w:divBdr>
                            <w:top w:val="none" w:sz="0" w:space="0" w:color="auto"/>
                            <w:left w:val="none" w:sz="0" w:space="0" w:color="auto"/>
                            <w:bottom w:val="none" w:sz="0" w:space="0" w:color="auto"/>
                            <w:right w:val="none" w:sz="0" w:space="0" w:color="auto"/>
                          </w:divBdr>
                        </w:div>
                        <w:div w:id="1734112432">
                          <w:marLeft w:val="0"/>
                          <w:marRight w:val="0"/>
                          <w:marTop w:val="0"/>
                          <w:marBottom w:val="0"/>
                          <w:divBdr>
                            <w:top w:val="none" w:sz="0" w:space="0" w:color="auto"/>
                            <w:left w:val="none" w:sz="0" w:space="0" w:color="auto"/>
                            <w:bottom w:val="none" w:sz="0" w:space="0" w:color="auto"/>
                            <w:right w:val="none" w:sz="0" w:space="0" w:color="auto"/>
                          </w:divBdr>
                          <w:divsChild>
                            <w:div w:id="1888101246">
                              <w:marLeft w:val="0"/>
                              <w:marRight w:val="0"/>
                              <w:marTop w:val="0"/>
                              <w:marBottom w:val="0"/>
                              <w:divBdr>
                                <w:top w:val="none" w:sz="0" w:space="0" w:color="auto"/>
                                <w:left w:val="none" w:sz="0" w:space="0" w:color="auto"/>
                                <w:bottom w:val="none" w:sz="0" w:space="0" w:color="auto"/>
                                <w:right w:val="none" w:sz="0" w:space="0" w:color="auto"/>
                              </w:divBdr>
                            </w:div>
                            <w:div w:id="634215444">
                              <w:marLeft w:val="0"/>
                              <w:marRight w:val="0"/>
                              <w:marTop w:val="0"/>
                              <w:marBottom w:val="0"/>
                              <w:divBdr>
                                <w:top w:val="none" w:sz="0" w:space="0" w:color="auto"/>
                                <w:left w:val="none" w:sz="0" w:space="0" w:color="auto"/>
                                <w:bottom w:val="none" w:sz="0" w:space="0" w:color="auto"/>
                                <w:right w:val="none" w:sz="0" w:space="0" w:color="auto"/>
                              </w:divBdr>
                            </w:div>
                            <w:div w:id="931862130">
                              <w:marLeft w:val="0"/>
                              <w:marRight w:val="0"/>
                              <w:marTop w:val="0"/>
                              <w:marBottom w:val="0"/>
                              <w:divBdr>
                                <w:top w:val="none" w:sz="0" w:space="0" w:color="auto"/>
                                <w:left w:val="none" w:sz="0" w:space="0" w:color="auto"/>
                                <w:bottom w:val="none" w:sz="0" w:space="0" w:color="auto"/>
                                <w:right w:val="none" w:sz="0" w:space="0" w:color="auto"/>
                              </w:divBdr>
                            </w:div>
                            <w:div w:id="1594244660">
                              <w:marLeft w:val="0"/>
                              <w:marRight w:val="0"/>
                              <w:marTop w:val="0"/>
                              <w:marBottom w:val="0"/>
                              <w:divBdr>
                                <w:top w:val="none" w:sz="0" w:space="0" w:color="auto"/>
                                <w:left w:val="none" w:sz="0" w:space="0" w:color="auto"/>
                                <w:bottom w:val="none" w:sz="0" w:space="0" w:color="auto"/>
                                <w:right w:val="none" w:sz="0" w:space="0" w:color="auto"/>
                              </w:divBdr>
                            </w:div>
                            <w:div w:id="1736468233">
                              <w:marLeft w:val="0"/>
                              <w:marRight w:val="0"/>
                              <w:marTop w:val="0"/>
                              <w:marBottom w:val="0"/>
                              <w:divBdr>
                                <w:top w:val="none" w:sz="0" w:space="0" w:color="auto"/>
                                <w:left w:val="none" w:sz="0" w:space="0" w:color="auto"/>
                                <w:bottom w:val="none" w:sz="0" w:space="0" w:color="auto"/>
                                <w:right w:val="none" w:sz="0" w:space="0" w:color="auto"/>
                              </w:divBdr>
                            </w:div>
                            <w:div w:id="1871458461">
                              <w:marLeft w:val="0"/>
                              <w:marRight w:val="0"/>
                              <w:marTop w:val="0"/>
                              <w:marBottom w:val="0"/>
                              <w:divBdr>
                                <w:top w:val="none" w:sz="0" w:space="0" w:color="auto"/>
                                <w:left w:val="none" w:sz="0" w:space="0" w:color="auto"/>
                                <w:bottom w:val="none" w:sz="0" w:space="0" w:color="auto"/>
                                <w:right w:val="none" w:sz="0" w:space="0" w:color="auto"/>
                              </w:divBdr>
                            </w:div>
                            <w:div w:id="288826378">
                              <w:marLeft w:val="0"/>
                              <w:marRight w:val="0"/>
                              <w:marTop w:val="0"/>
                              <w:marBottom w:val="0"/>
                              <w:divBdr>
                                <w:top w:val="none" w:sz="0" w:space="0" w:color="auto"/>
                                <w:left w:val="none" w:sz="0" w:space="0" w:color="auto"/>
                                <w:bottom w:val="none" w:sz="0" w:space="0" w:color="auto"/>
                                <w:right w:val="none" w:sz="0" w:space="0" w:color="auto"/>
                              </w:divBdr>
                            </w:div>
                            <w:div w:id="885990779">
                              <w:marLeft w:val="0"/>
                              <w:marRight w:val="0"/>
                              <w:marTop w:val="0"/>
                              <w:marBottom w:val="0"/>
                              <w:divBdr>
                                <w:top w:val="none" w:sz="0" w:space="0" w:color="auto"/>
                                <w:left w:val="none" w:sz="0" w:space="0" w:color="auto"/>
                                <w:bottom w:val="none" w:sz="0" w:space="0" w:color="auto"/>
                                <w:right w:val="none" w:sz="0" w:space="0" w:color="auto"/>
                              </w:divBdr>
                            </w:div>
                            <w:div w:id="1741908380">
                              <w:marLeft w:val="0"/>
                              <w:marRight w:val="0"/>
                              <w:marTop w:val="0"/>
                              <w:marBottom w:val="0"/>
                              <w:divBdr>
                                <w:top w:val="none" w:sz="0" w:space="0" w:color="auto"/>
                                <w:left w:val="none" w:sz="0" w:space="0" w:color="auto"/>
                                <w:bottom w:val="none" w:sz="0" w:space="0" w:color="auto"/>
                                <w:right w:val="none" w:sz="0" w:space="0" w:color="auto"/>
                              </w:divBdr>
                            </w:div>
                            <w:div w:id="906769472">
                              <w:marLeft w:val="0"/>
                              <w:marRight w:val="0"/>
                              <w:marTop w:val="0"/>
                              <w:marBottom w:val="0"/>
                              <w:divBdr>
                                <w:top w:val="none" w:sz="0" w:space="0" w:color="auto"/>
                                <w:left w:val="none" w:sz="0" w:space="0" w:color="auto"/>
                                <w:bottom w:val="none" w:sz="0" w:space="0" w:color="auto"/>
                                <w:right w:val="none" w:sz="0" w:space="0" w:color="auto"/>
                              </w:divBdr>
                            </w:div>
                            <w:div w:id="82654240">
                              <w:marLeft w:val="0"/>
                              <w:marRight w:val="0"/>
                              <w:marTop w:val="0"/>
                              <w:marBottom w:val="0"/>
                              <w:divBdr>
                                <w:top w:val="none" w:sz="0" w:space="0" w:color="auto"/>
                                <w:left w:val="none" w:sz="0" w:space="0" w:color="auto"/>
                                <w:bottom w:val="none" w:sz="0" w:space="0" w:color="auto"/>
                                <w:right w:val="none" w:sz="0" w:space="0" w:color="auto"/>
                              </w:divBdr>
                            </w:div>
                            <w:div w:id="1482186899">
                              <w:marLeft w:val="0"/>
                              <w:marRight w:val="0"/>
                              <w:marTop w:val="0"/>
                              <w:marBottom w:val="0"/>
                              <w:divBdr>
                                <w:top w:val="none" w:sz="0" w:space="0" w:color="auto"/>
                                <w:left w:val="none" w:sz="0" w:space="0" w:color="auto"/>
                                <w:bottom w:val="none" w:sz="0" w:space="0" w:color="auto"/>
                                <w:right w:val="none" w:sz="0" w:space="0" w:color="auto"/>
                              </w:divBdr>
                            </w:div>
                            <w:div w:id="2044133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2248944">
      <w:bodyDiv w:val="1"/>
      <w:marLeft w:val="0"/>
      <w:marRight w:val="0"/>
      <w:marTop w:val="0"/>
      <w:marBottom w:val="0"/>
      <w:divBdr>
        <w:top w:val="none" w:sz="0" w:space="0" w:color="auto"/>
        <w:left w:val="none" w:sz="0" w:space="0" w:color="auto"/>
        <w:bottom w:val="none" w:sz="0" w:space="0" w:color="auto"/>
        <w:right w:val="none" w:sz="0" w:space="0" w:color="auto"/>
      </w:divBdr>
      <w:divsChild>
        <w:div w:id="349380343">
          <w:marLeft w:val="0"/>
          <w:marRight w:val="0"/>
          <w:marTop w:val="0"/>
          <w:marBottom w:val="0"/>
          <w:divBdr>
            <w:top w:val="none" w:sz="0" w:space="0" w:color="auto"/>
            <w:left w:val="none" w:sz="0" w:space="0" w:color="auto"/>
            <w:bottom w:val="none" w:sz="0" w:space="0" w:color="auto"/>
            <w:right w:val="none" w:sz="0" w:space="0" w:color="auto"/>
          </w:divBdr>
        </w:div>
        <w:div w:id="898445914">
          <w:marLeft w:val="0"/>
          <w:marRight w:val="0"/>
          <w:marTop w:val="0"/>
          <w:marBottom w:val="0"/>
          <w:divBdr>
            <w:top w:val="none" w:sz="0" w:space="0" w:color="auto"/>
            <w:left w:val="none" w:sz="0" w:space="0" w:color="auto"/>
            <w:bottom w:val="none" w:sz="0" w:space="0" w:color="auto"/>
            <w:right w:val="none" w:sz="0" w:space="0" w:color="auto"/>
          </w:divBdr>
          <w:divsChild>
            <w:div w:id="1793743664">
              <w:marLeft w:val="0"/>
              <w:marRight w:val="0"/>
              <w:marTop w:val="0"/>
              <w:marBottom w:val="0"/>
              <w:divBdr>
                <w:top w:val="none" w:sz="0" w:space="0" w:color="auto"/>
                <w:left w:val="none" w:sz="0" w:space="0" w:color="auto"/>
                <w:bottom w:val="none" w:sz="0" w:space="0" w:color="auto"/>
                <w:right w:val="none" w:sz="0" w:space="0" w:color="auto"/>
              </w:divBdr>
            </w:div>
            <w:div w:id="1533881696">
              <w:marLeft w:val="0"/>
              <w:marRight w:val="0"/>
              <w:marTop w:val="0"/>
              <w:marBottom w:val="0"/>
              <w:divBdr>
                <w:top w:val="none" w:sz="0" w:space="0" w:color="auto"/>
                <w:left w:val="none" w:sz="0" w:space="0" w:color="auto"/>
                <w:bottom w:val="none" w:sz="0" w:space="0" w:color="auto"/>
                <w:right w:val="none" w:sz="0" w:space="0" w:color="auto"/>
              </w:divBdr>
            </w:div>
            <w:div w:id="169523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667328">
      <w:bodyDiv w:val="1"/>
      <w:marLeft w:val="0"/>
      <w:marRight w:val="0"/>
      <w:marTop w:val="0"/>
      <w:marBottom w:val="0"/>
      <w:divBdr>
        <w:top w:val="none" w:sz="0" w:space="0" w:color="auto"/>
        <w:left w:val="none" w:sz="0" w:space="0" w:color="auto"/>
        <w:bottom w:val="none" w:sz="0" w:space="0" w:color="auto"/>
        <w:right w:val="none" w:sz="0" w:space="0" w:color="auto"/>
      </w:divBdr>
      <w:divsChild>
        <w:div w:id="1920167646">
          <w:marLeft w:val="0"/>
          <w:marRight w:val="0"/>
          <w:marTop w:val="0"/>
          <w:marBottom w:val="0"/>
          <w:divBdr>
            <w:top w:val="none" w:sz="0" w:space="0" w:color="auto"/>
            <w:left w:val="none" w:sz="0" w:space="0" w:color="auto"/>
            <w:bottom w:val="none" w:sz="0" w:space="0" w:color="auto"/>
            <w:right w:val="none" w:sz="0" w:space="0" w:color="auto"/>
          </w:divBdr>
        </w:div>
        <w:div w:id="1476993202">
          <w:marLeft w:val="0"/>
          <w:marRight w:val="0"/>
          <w:marTop w:val="0"/>
          <w:marBottom w:val="0"/>
          <w:divBdr>
            <w:top w:val="none" w:sz="0" w:space="0" w:color="auto"/>
            <w:left w:val="none" w:sz="0" w:space="0" w:color="auto"/>
            <w:bottom w:val="none" w:sz="0" w:space="0" w:color="auto"/>
            <w:right w:val="none" w:sz="0" w:space="0" w:color="auto"/>
          </w:divBdr>
          <w:divsChild>
            <w:div w:id="1760440497">
              <w:marLeft w:val="0"/>
              <w:marRight w:val="0"/>
              <w:marTop w:val="0"/>
              <w:marBottom w:val="0"/>
              <w:divBdr>
                <w:top w:val="none" w:sz="0" w:space="0" w:color="auto"/>
                <w:left w:val="none" w:sz="0" w:space="0" w:color="auto"/>
                <w:bottom w:val="none" w:sz="0" w:space="0" w:color="auto"/>
                <w:right w:val="none" w:sz="0" w:space="0" w:color="auto"/>
              </w:divBdr>
            </w:div>
            <w:div w:id="854197466">
              <w:marLeft w:val="0"/>
              <w:marRight w:val="0"/>
              <w:marTop w:val="0"/>
              <w:marBottom w:val="0"/>
              <w:divBdr>
                <w:top w:val="none" w:sz="0" w:space="0" w:color="auto"/>
                <w:left w:val="none" w:sz="0" w:space="0" w:color="auto"/>
                <w:bottom w:val="none" w:sz="0" w:space="0" w:color="auto"/>
                <w:right w:val="none" w:sz="0" w:space="0" w:color="auto"/>
              </w:divBdr>
            </w:div>
            <w:div w:id="1509910214">
              <w:marLeft w:val="0"/>
              <w:marRight w:val="0"/>
              <w:marTop w:val="0"/>
              <w:marBottom w:val="0"/>
              <w:divBdr>
                <w:top w:val="none" w:sz="0" w:space="0" w:color="auto"/>
                <w:left w:val="none" w:sz="0" w:space="0" w:color="auto"/>
                <w:bottom w:val="none" w:sz="0" w:space="0" w:color="auto"/>
                <w:right w:val="none" w:sz="0" w:space="0" w:color="auto"/>
              </w:divBdr>
            </w:div>
            <w:div w:id="1500923031">
              <w:marLeft w:val="0"/>
              <w:marRight w:val="0"/>
              <w:marTop w:val="0"/>
              <w:marBottom w:val="0"/>
              <w:divBdr>
                <w:top w:val="none" w:sz="0" w:space="0" w:color="auto"/>
                <w:left w:val="none" w:sz="0" w:space="0" w:color="auto"/>
                <w:bottom w:val="none" w:sz="0" w:space="0" w:color="auto"/>
                <w:right w:val="none" w:sz="0" w:space="0" w:color="auto"/>
              </w:divBdr>
            </w:div>
            <w:div w:id="1926567453">
              <w:marLeft w:val="0"/>
              <w:marRight w:val="0"/>
              <w:marTop w:val="0"/>
              <w:marBottom w:val="0"/>
              <w:divBdr>
                <w:top w:val="none" w:sz="0" w:space="0" w:color="auto"/>
                <w:left w:val="none" w:sz="0" w:space="0" w:color="auto"/>
                <w:bottom w:val="none" w:sz="0" w:space="0" w:color="auto"/>
                <w:right w:val="none" w:sz="0" w:space="0" w:color="auto"/>
              </w:divBdr>
            </w:div>
            <w:div w:id="1758862904">
              <w:marLeft w:val="0"/>
              <w:marRight w:val="0"/>
              <w:marTop w:val="0"/>
              <w:marBottom w:val="0"/>
              <w:divBdr>
                <w:top w:val="none" w:sz="0" w:space="0" w:color="auto"/>
                <w:left w:val="none" w:sz="0" w:space="0" w:color="auto"/>
                <w:bottom w:val="none" w:sz="0" w:space="0" w:color="auto"/>
                <w:right w:val="none" w:sz="0" w:space="0" w:color="auto"/>
              </w:divBdr>
            </w:div>
            <w:div w:id="1848203513">
              <w:marLeft w:val="0"/>
              <w:marRight w:val="0"/>
              <w:marTop w:val="0"/>
              <w:marBottom w:val="0"/>
              <w:divBdr>
                <w:top w:val="none" w:sz="0" w:space="0" w:color="auto"/>
                <w:left w:val="none" w:sz="0" w:space="0" w:color="auto"/>
                <w:bottom w:val="none" w:sz="0" w:space="0" w:color="auto"/>
                <w:right w:val="none" w:sz="0" w:space="0" w:color="auto"/>
              </w:divBdr>
            </w:div>
            <w:div w:id="1607273581">
              <w:marLeft w:val="0"/>
              <w:marRight w:val="0"/>
              <w:marTop w:val="0"/>
              <w:marBottom w:val="0"/>
              <w:divBdr>
                <w:top w:val="none" w:sz="0" w:space="0" w:color="auto"/>
                <w:left w:val="none" w:sz="0" w:space="0" w:color="auto"/>
                <w:bottom w:val="none" w:sz="0" w:space="0" w:color="auto"/>
                <w:right w:val="none" w:sz="0" w:space="0" w:color="auto"/>
              </w:divBdr>
            </w:div>
            <w:div w:id="1065377583">
              <w:marLeft w:val="0"/>
              <w:marRight w:val="0"/>
              <w:marTop w:val="0"/>
              <w:marBottom w:val="0"/>
              <w:divBdr>
                <w:top w:val="none" w:sz="0" w:space="0" w:color="auto"/>
                <w:left w:val="none" w:sz="0" w:space="0" w:color="auto"/>
                <w:bottom w:val="none" w:sz="0" w:space="0" w:color="auto"/>
                <w:right w:val="none" w:sz="0" w:space="0" w:color="auto"/>
              </w:divBdr>
            </w:div>
            <w:div w:id="873420602">
              <w:marLeft w:val="0"/>
              <w:marRight w:val="0"/>
              <w:marTop w:val="0"/>
              <w:marBottom w:val="0"/>
              <w:divBdr>
                <w:top w:val="none" w:sz="0" w:space="0" w:color="auto"/>
                <w:left w:val="none" w:sz="0" w:space="0" w:color="auto"/>
                <w:bottom w:val="none" w:sz="0" w:space="0" w:color="auto"/>
                <w:right w:val="none" w:sz="0" w:space="0" w:color="auto"/>
              </w:divBdr>
            </w:div>
            <w:div w:id="1328172410">
              <w:marLeft w:val="0"/>
              <w:marRight w:val="0"/>
              <w:marTop w:val="0"/>
              <w:marBottom w:val="0"/>
              <w:divBdr>
                <w:top w:val="none" w:sz="0" w:space="0" w:color="auto"/>
                <w:left w:val="none" w:sz="0" w:space="0" w:color="auto"/>
                <w:bottom w:val="none" w:sz="0" w:space="0" w:color="auto"/>
                <w:right w:val="none" w:sz="0" w:space="0" w:color="auto"/>
              </w:divBdr>
            </w:div>
            <w:div w:id="1807355530">
              <w:marLeft w:val="0"/>
              <w:marRight w:val="0"/>
              <w:marTop w:val="0"/>
              <w:marBottom w:val="0"/>
              <w:divBdr>
                <w:top w:val="none" w:sz="0" w:space="0" w:color="auto"/>
                <w:left w:val="none" w:sz="0" w:space="0" w:color="auto"/>
                <w:bottom w:val="none" w:sz="0" w:space="0" w:color="auto"/>
                <w:right w:val="none" w:sz="0" w:space="0" w:color="auto"/>
              </w:divBdr>
            </w:div>
            <w:div w:id="1968706577">
              <w:marLeft w:val="0"/>
              <w:marRight w:val="0"/>
              <w:marTop w:val="0"/>
              <w:marBottom w:val="0"/>
              <w:divBdr>
                <w:top w:val="none" w:sz="0" w:space="0" w:color="auto"/>
                <w:left w:val="none" w:sz="0" w:space="0" w:color="auto"/>
                <w:bottom w:val="none" w:sz="0" w:space="0" w:color="auto"/>
                <w:right w:val="none" w:sz="0" w:space="0" w:color="auto"/>
              </w:divBdr>
            </w:div>
            <w:div w:id="1413433515">
              <w:marLeft w:val="0"/>
              <w:marRight w:val="0"/>
              <w:marTop w:val="0"/>
              <w:marBottom w:val="0"/>
              <w:divBdr>
                <w:top w:val="none" w:sz="0" w:space="0" w:color="auto"/>
                <w:left w:val="none" w:sz="0" w:space="0" w:color="auto"/>
                <w:bottom w:val="none" w:sz="0" w:space="0" w:color="auto"/>
                <w:right w:val="none" w:sz="0" w:space="0" w:color="auto"/>
              </w:divBdr>
            </w:div>
            <w:div w:id="1883204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956322">
      <w:bodyDiv w:val="1"/>
      <w:marLeft w:val="0"/>
      <w:marRight w:val="0"/>
      <w:marTop w:val="0"/>
      <w:marBottom w:val="0"/>
      <w:divBdr>
        <w:top w:val="none" w:sz="0" w:space="0" w:color="auto"/>
        <w:left w:val="none" w:sz="0" w:space="0" w:color="auto"/>
        <w:bottom w:val="none" w:sz="0" w:space="0" w:color="auto"/>
        <w:right w:val="none" w:sz="0" w:space="0" w:color="auto"/>
      </w:divBdr>
      <w:divsChild>
        <w:div w:id="157309285">
          <w:marLeft w:val="0"/>
          <w:marRight w:val="0"/>
          <w:marTop w:val="0"/>
          <w:marBottom w:val="0"/>
          <w:divBdr>
            <w:top w:val="none" w:sz="0" w:space="0" w:color="auto"/>
            <w:left w:val="none" w:sz="0" w:space="0" w:color="auto"/>
            <w:bottom w:val="none" w:sz="0" w:space="0" w:color="auto"/>
            <w:right w:val="none" w:sz="0" w:space="0" w:color="auto"/>
          </w:divBdr>
        </w:div>
        <w:div w:id="1573854316">
          <w:marLeft w:val="0"/>
          <w:marRight w:val="0"/>
          <w:marTop w:val="0"/>
          <w:marBottom w:val="0"/>
          <w:divBdr>
            <w:top w:val="none" w:sz="0" w:space="0" w:color="auto"/>
            <w:left w:val="none" w:sz="0" w:space="0" w:color="auto"/>
            <w:bottom w:val="none" w:sz="0" w:space="0" w:color="auto"/>
            <w:right w:val="none" w:sz="0" w:space="0" w:color="auto"/>
          </w:divBdr>
          <w:divsChild>
            <w:div w:id="700126583">
              <w:marLeft w:val="0"/>
              <w:marRight w:val="0"/>
              <w:marTop w:val="0"/>
              <w:marBottom w:val="0"/>
              <w:divBdr>
                <w:top w:val="none" w:sz="0" w:space="0" w:color="auto"/>
                <w:left w:val="none" w:sz="0" w:space="0" w:color="auto"/>
                <w:bottom w:val="none" w:sz="0" w:space="0" w:color="auto"/>
                <w:right w:val="none" w:sz="0" w:space="0" w:color="auto"/>
              </w:divBdr>
            </w:div>
            <w:div w:id="167017750">
              <w:marLeft w:val="0"/>
              <w:marRight w:val="0"/>
              <w:marTop w:val="0"/>
              <w:marBottom w:val="0"/>
              <w:divBdr>
                <w:top w:val="none" w:sz="0" w:space="0" w:color="auto"/>
                <w:left w:val="none" w:sz="0" w:space="0" w:color="auto"/>
                <w:bottom w:val="none" w:sz="0" w:space="0" w:color="auto"/>
                <w:right w:val="none" w:sz="0" w:space="0" w:color="auto"/>
              </w:divBdr>
            </w:div>
            <w:div w:id="717169673">
              <w:marLeft w:val="0"/>
              <w:marRight w:val="0"/>
              <w:marTop w:val="0"/>
              <w:marBottom w:val="0"/>
              <w:divBdr>
                <w:top w:val="none" w:sz="0" w:space="0" w:color="auto"/>
                <w:left w:val="none" w:sz="0" w:space="0" w:color="auto"/>
                <w:bottom w:val="none" w:sz="0" w:space="0" w:color="auto"/>
                <w:right w:val="none" w:sz="0" w:space="0" w:color="auto"/>
              </w:divBdr>
            </w:div>
            <w:div w:id="9796237">
              <w:marLeft w:val="0"/>
              <w:marRight w:val="0"/>
              <w:marTop w:val="0"/>
              <w:marBottom w:val="0"/>
              <w:divBdr>
                <w:top w:val="none" w:sz="0" w:space="0" w:color="auto"/>
                <w:left w:val="none" w:sz="0" w:space="0" w:color="auto"/>
                <w:bottom w:val="none" w:sz="0" w:space="0" w:color="auto"/>
                <w:right w:val="none" w:sz="0" w:space="0" w:color="auto"/>
              </w:divBdr>
            </w:div>
            <w:div w:id="672531779">
              <w:marLeft w:val="0"/>
              <w:marRight w:val="0"/>
              <w:marTop w:val="0"/>
              <w:marBottom w:val="0"/>
              <w:divBdr>
                <w:top w:val="none" w:sz="0" w:space="0" w:color="auto"/>
                <w:left w:val="none" w:sz="0" w:space="0" w:color="auto"/>
                <w:bottom w:val="none" w:sz="0" w:space="0" w:color="auto"/>
                <w:right w:val="none" w:sz="0" w:space="0" w:color="auto"/>
              </w:divBdr>
            </w:div>
            <w:div w:id="384258686">
              <w:marLeft w:val="0"/>
              <w:marRight w:val="0"/>
              <w:marTop w:val="0"/>
              <w:marBottom w:val="0"/>
              <w:divBdr>
                <w:top w:val="none" w:sz="0" w:space="0" w:color="auto"/>
                <w:left w:val="none" w:sz="0" w:space="0" w:color="auto"/>
                <w:bottom w:val="none" w:sz="0" w:space="0" w:color="auto"/>
                <w:right w:val="none" w:sz="0" w:space="0" w:color="auto"/>
              </w:divBdr>
            </w:div>
            <w:div w:id="1390612579">
              <w:marLeft w:val="0"/>
              <w:marRight w:val="0"/>
              <w:marTop w:val="0"/>
              <w:marBottom w:val="0"/>
              <w:divBdr>
                <w:top w:val="none" w:sz="0" w:space="0" w:color="auto"/>
                <w:left w:val="none" w:sz="0" w:space="0" w:color="auto"/>
                <w:bottom w:val="none" w:sz="0" w:space="0" w:color="auto"/>
                <w:right w:val="none" w:sz="0" w:space="0" w:color="auto"/>
              </w:divBdr>
            </w:div>
            <w:div w:id="541747255">
              <w:marLeft w:val="0"/>
              <w:marRight w:val="0"/>
              <w:marTop w:val="0"/>
              <w:marBottom w:val="0"/>
              <w:divBdr>
                <w:top w:val="none" w:sz="0" w:space="0" w:color="auto"/>
                <w:left w:val="none" w:sz="0" w:space="0" w:color="auto"/>
                <w:bottom w:val="none" w:sz="0" w:space="0" w:color="auto"/>
                <w:right w:val="none" w:sz="0" w:space="0" w:color="auto"/>
              </w:divBdr>
            </w:div>
            <w:div w:id="1638756086">
              <w:marLeft w:val="0"/>
              <w:marRight w:val="0"/>
              <w:marTop w:val="0"/>
              <w:marBottom w:val="0"/>
              <w:divBdr>
                <w:top w:val="none" w:sz="0" w:space="0" w:color="auto"/>
                <w:left w:val="none" w:sz="0" w:space="0" w:color="auto"/>
                <w:bottom w:val="none" w:sz="0" w:space="0" w:color="auto"/>
                <w:right w:val="none" w:sz="0" w:space="0" w:color="auto"/>
              </w:divBdr>
            </w:div>
            <w:div w:id="1097755811">
              <w:marLeft w:val="0"/>
              <w:marRight w:val="0"/>
              <w:marTop w:val="0"/>
              <w:marBottom w:val="0"/>
              <w:divBdr>
                <w:top w:val="none" w:sz="0" w:space="0" w:color="auto"/>
                <w:left w:val="none" w:sz="0" w:space="0" w:color="auto"/>
                <w:bottom w:val="none" w:sz="0" w:space="0" w:color="auto"/>
                <w:right w:val="none" w:sz="0" w:space="0" w:color="auto"/>
              </w:divBdr>
            </w:div>
            <w:div w:id="1545368376">
              <w:marLeft w:val="0"/>
              <w:marRight w:val="0"/>
              <w:marTop w:val="0"/>
              <w:marBottom w:val="0"/>
              <w:divBdr>
                <w:top w:val="none" w:sz="0" w:space="0" w:color="auto"/>
                <w:left w:val="none" w:sz="0" w:space="0" w:color="auto"/>
                <w:bottom w:val="none" w:sz="0" w:space="0" w:color="auto"/>
                <w:right w:val="none" w:sz="0" w:space="0" w:color="auto"/>
              </w:divBdr>
            </w:div>
            <w:div w:id="1279947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imes.fr/index.php?id=3491"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1718</Words>
  <Characters>9454</Characters>
  <Application>Microsoft Office Word</Application>
  <DocSecurity>0</DocSecurity>
  <Lines>78</Lines>
  <Paragraphs>22</Paragraphs>
  <ScaleCrop>false</ScaleCrop>
  <Company>Hewlett-Packard</Company>
  <LinksUpToDate>false</LinksUpToDate>
  <CharactersWithSpaces>11150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Anthony tarin</dc:creator>
  <cp:keywords/>
  <dc:description/>
  <cp:lastModifiedBy>Anthony tarin</cp:lastModifiedBy>
  <cp:revision>3</cp:revision>
  <dcterms:created xsi:type="dcterms:W3CDTF">2017-11-21T15:40:00Z</dcterms:created>
  <dcterms:modified xsi:type="dcterms:W3CDTF">2017-11-21T15:41:00Z</dcterms:modified>
</cp:coreProperties>
</file>